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06" w:rsidRDefault="00A06B06" w:rsidP="00A06B06">
      <w:pPr>
        <w:pStyle w:val="Body"/>
        <w:rPr>
          <w:i/>
          <w:noProof/>
          <w:sz w:val="28"/>
          <w:szCs w:val="28"/>
          <w:lang w:val="hr-HR" w:eastAsia="hr-HR"/>
        </w:rPr>
      </w:pPr>
    </w:p>
    <w:p w:rsidR="00A06B06" w:rsidRPr="000C1F11" w:rsidRDefault="00A06B06" w:rsidP="00A06B06">
      <w:pPr>
        <w:pStyle w:val="Body"/>
        <w:rPr>
          <w:rFonts w:cs="UnizgDisplay Normal"/>
          <w:i/>
          <w:sz w:val="28"/>
          <w:szCs w:val="28"/>
          <w:lang w:val="hr-HR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DCAD7D" wp14:editId="08F84C03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  <w:lang w:val="hr-HR" w:eastAsia="hr-HR"/>
        </w:rPr>
        <w:t>Ured za upravljanje kvalitetom</w:t>
      </w:r>
    </w:p>
    <w:p w:rsidR="00A06B06" w:rsidRPr="000C1F11" w:rsidRDefault="00A06B06" w:rsidP="00A06B06">
      <w:pPr>
        <w:ind w:left="1276"/>
        <w:rPr>
          <w:rFonts w:ascii="UniZgLight" w:hAnsi="UniZgLight"/>
          <w:lang w:eastAsia="hr-HR"/>
        </w:rPr>
      </w:pPr>
    </w:p>
    <w:p w:rsidR="00A06B06" w:rsidRPr="003B57B4" w:rsidRDefault="00A06B06" w:rsidP="00A06B06">
      <w:pPr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PLAN AKTIVNOSTI ZA OSIGURAVANJE KVALITETE SASTAVNICE</w:t>
      </w:r>
      <w:r w:rsidRPr="003B57B4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z</w:t>
      </w:r>
      <w:r w:rsidR="00AE7283">
        <w:rPr>
          <w:rFonts w:ascii="Times New Roman" w:hAnsi="Times New Roman"/>
          <w:b/>
          <w:sz w:val="32"/>
          <w:szCs w:val="32"/>
        </w:rPr>
        <w:t>a akademsku godinu: 2017./2018</w:t>
      </w:r>
      <w:r w:rsidRPr="003B57B4">
        <w:rPr>
          <w:rFonts w:ascii="Times New Roman" w:hAnsi="Times New Roman"/>
          <w:b/>
          <w:sz w:val="32"/>
          <w:szCs w:val="32"/>
        </w:rPr>
        <w:t>.</w:t>
      </w:r>
    </w:p>
    <w:p w:rsidR="00A06B06" w:rsidRPr="003B57B4" w:rsidRDefault="00A06B06" w:rsidP="00A06B0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Naziv sastavnice:</w:t>
      </w:r>
      <w:r w:rsidR="00A25FD0">
        <w:rPr>
          <w:rFonts w:ascii="Times New Roman" w:hAnsi="Times New Roman"/>
          <w:b/>
          <w:sz w:val="32"/>
          <w:szCs w:val="32"/>
        </w:rPr>
        <w:t xml:space="preserve"> Farmaceutsko-biokemijski fakultet</w:t>
      </w:r>
    </w:p>
    <w:p w:rsidR="00A06B06" w:rsidRPr="00850416" w:rsidRDefault="00A06B06" w:rsidP="00A06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850416" w:rsidRDefault="00A06B06" w:rsidP="00A06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0416">
        <w:rPr>
          <w:rFonts w:ascii="Times New Roman" w:hAnsi="Times New Roman"/>
          <w:b/>
          <w:sz w:val="24"/>
          <w:szCs w:val="24"/>
        </w:rPr>
        <w:t>Naziv nadležnog povjerenstva za osiguravanje kvalitete sastavnice:</w:t>
      </w:r>
      <w:r w:rsidR="00151F50">
        <w:rPr>
          <w:rFonts w:ascii="Times New Roman" w:hAnsi="Times New Roman"/>
          <w:b/>
          <w:sz w:val="24"/>
          <w:szCs w:val="24"/>
        </w:rPr>
        <w:t xml:space="preserve"> Povjerenstvo za osiguravanje kvalitete</w:t>
      </w:r>
    </w:p>
    <w:p w:rsidR="00A06B06" w:rsidRDefault="00A06B06" w:rsidP="00A06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81F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 xml:space="preserve">Pregled </w:t>
      </w:r>
      <w:r>
        <w:rPr>
          <w:rFonts w:ascii="Times New Roman" w:hAnsi="Times New Roman"/>
          <w:b/>
          <w:sz w:val="24"/>
          <w:szCs w:val="24"/>
        </w:rPr>
        <w:t>planiranih</w:t>
      </w:r>
      <w:r w:rsidRPr="00733998">
        <w:rPr>
          <w:rFonts w:ascii="Times New Roman" w:hAnsi="Times New Roman"/>
          <w:b/>
          <w:sz w:val="24"/>
          <w:szCs w:val="24"/>
        </w:rPr>
        <w:t xml:space="preserve"> aktivnosti po područjima unutarnjeg osiguravanja kvalitete</w:t>
      </w:r>
      <w:r>
        <w:rPr>
          <w:rFonts w:ascii="Times New Roman" w:hAnsi="Times New Roman"/>
          <w:b/>
          <w:sz w:val="24"/>
          <w:szCs w:val="24"/>
        </w:rPr>
        <w:t xml:space="preserve"> kojima se uspostavljaju standardi i ostvaruju ciljevi propisani gore navedenom dokumentacijom </w:t>
      </w:r>
      <w:r>
        <w:rPr>
          <w:rFonts w:ascii="Times New Roman" w:hAnsi="Times New Roman"/>
          <w:sz w:val="24"/>
          <w:szCs w:val="24"/>
        </w:rPr>
        <w:t>(po potrebi, dodajte redove)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381F" w:rsidRDefault="009338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55"/>
        <w:gridCol w:w="2582"/>
        <w:gridCol w:w="5697"/>
        <w:gridCol w:w="1449"/>
        <w:gridCol w:w="2773"/>
      </w:tblGrid>
      <w:tr w:rsidR="00A06B06" w:rsidRPr="00733998" w:rsidTr="006E20F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E573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Politika i 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unapr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eđenja sustava kvalitete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2D83" w:rsidRPr="00733998" w:rsidTr="006E20FF">
        <w:trPr>
          <w:trHeight w:val="988"/>
          <w:tblHeader/>
        </w:trPr>
        <w:tc>
          <w:tcPr>
            <w:tcW w:w="1112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33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68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87" w:type="pct"/>
            <w:vAlign w:val="center"/>
          </w:tcPr>
          <w:p w:rsidR="00A06B06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  <w:p w:rsidR="00E2335C" w:rsidRPr="00733998" w:rsidRDefault="00E2335C" w:rsidP="00E57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83" w:rsidRPr="00733998" w:rsidTr="006E20FF">
        <w:trPr>
          <w:cantSplit/>
          <w:trHeight w:val="515"/>
        </w:trPr>
        <w:tc>
          <w:tcPr>
            <w:tcW w:w="100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06B06" w:rsidRPr="00733998" w:rsidRDefault="00E2335C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i usvajanje godišnjeg izvješća o provedbi plana aktivnosti za osiguravanje kvalitete na Farmaceutsko-biokemijskom fakultetu za akademsku godinu 2016./2017.</w:t>
            </w:r>
          </w:p>
        </w:tc>
        <w:tc>
          <w:tcPr>
            <w:tcW w:w="2233" w:type="pct"/>
          </w:tcPr>
          <w:p w:rsidR="00A06B06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 (POK) sastavlja godišnje izvješće o svom radu za akad. god. 2016./2017. Očekuje se da Fakultetsko vijeće prihvati izvješće. Prihvaćeno godišnje izvješće bit će dostupno na mrežnim stranicama.</w:t>
            </w:r>
          </w:p>
        </w:tc>
        <w:tc>
          <w:tcPr>
            <w:tcW w:w="568" w:type="pct"/>
          </w:tcPr>
          <w:p w:rsidR="00A06B06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2017.</w:t>
            </w:r>
          </w:p>
        </w:tc>
        <w:tc>
          <w:tcPr>
            <w:tcW w:w="1087" w:type="pct"/>
          </w:tcPr>
          <w:p w:rsidR="00A06B06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kvalitete, Fakultetsko vijeće</w:t>
            </w:r>
          </w:p>
        </w:tc>
      </w:tr>
      <w:tr w:rsidR="00E2335C" w:rsidRPr="00733998" w:rsidTr="006E20FF">
        <w:trPr>
          <w:cantSplit/>
          <w:trHeight w:val="515"/>
        </w:trPr>
        <w:tc>
          <w:tcPr>
            <w:tcW w:w="100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E2335C" w:rsidRDefault="00E2335C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i usvajanje aktivnosti za osiguravanje kvalitete za akad. god. 2017./2018.</w:t>
            </w:r>
          </w:p>
        </w:tc>
        <w:tc>
          <w:tcPr>
            <w:tcW w:w="2233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 sastavlja plan aktivnosti za akad. god. 2017./2018. Očekuje se definiranje novih ciljeva i usvajanje plana od strane da Fakultetskog vijeća. Prihvaćeni plan aktivnosti bit će dostupan na mrežnim stranicama.</w:t>
            </w:r>
          </w:p>
        </w:tc>
        <w:tc>
          <w:tcPr>
            <w:tcW w:w="568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Prosinac 2017. </w:t>
            </w:r>
          </w:p>
        </w:tc>
        <w:tc>
          <w:tcPr>
            <w:tcW w:w="1087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kvalitete, Fak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ultetsko vijeće</w:t>
            </w:r>
          </w:p>
        </w:tc>
      </w:tr>
      <w:tr w:rsidR="00E2335C" w:rsidRPr="00733998" w:rsidTr="00377298">
        <w:trPr>
          <w:cantSplit/>
          <w:trHeight w:val="515"/>
        </w:trPr>
        <w:tc>
          <w:tcPr>
            <w:tcW w:w="100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E2335C" w:rsidRPr="00733998" w:rsidRDefault="00E2335C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Izmjena Pravilnika o napredovanju u znanstveno-nastavna zvanja</w:t>
            </w:r>
          </w:p>
        </w:tc>
        <w:tc>
          <w:tcPr>
            <w:tcW w:w="2233" w:type="pct"/>
          </w:tcPr>
          <w:p w:rsidR="00E2335C" w:rsidRPr="00733998" w:rsidRDefault="00326CCB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Radna skupina radi na </w:t>
            </w:r>
            <w:r w:rsidR="00E2335C">
              <w:rPr>
                <w:rFonts w:ascii="Times New Roman" w:hAnsi="Times New Roman"/>
                <w:sz w:val="24"/>
                <w:szCs w:val="24"/>
              </w:rPr>
              <w:t>izmjena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i dopuna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Pravilnika o napredovanju u znanstveno-nastavna zvanja</w:t>
            </w:r>
            <w:r>
              <w:rPr>
                <w:rFonts w:ascii="Times New Roman" w:hAnsi="Times New Roman"/>
                <w:sz w:val="24"/>
                <w:szCs w:val="24"/>
              </w:rPr>
              <w:t>. Isti će se donijeti neovisno o novom pravilniku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Nacionalnog vijeća za znanost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budući da isti još nije donesen. Nakon što pravilnik Nacionalnog vijeća za znanost bude donešen, Pravilnik o napredovanju u znanstveno-nastavna zvanja će po potrebi biti usklađen. </w:t>
            </w:r>
          </w:p>
        </w:tc>
        <w:tc>
          <w:tcPr>
            <w:tcW w:w="568" w:type="pct"/>
          </w:tcPr>
          <w:p w:rsidR="00E2335C" w:rsidRPr="00733998" w:rsidRDefault="005B5FD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prvi kvartal 2018.</w:t>
            </w:r>
          </w:p>
        </w:tc>
        <w:tc>
          <w:tcPr>
            <w:tcW w:w="1087" w:type="pct"/>
          </w:tcPr>
          <w:p w:rsidR="00E2335C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programe/ Povjerenstvo za znanost i istraživanje</w:t>
            </w:r>
            <w:r w:rsidR="00610370" w:rsidRPr="006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/Radna skupina/Povjerenstvo za osiguravanje kvalitete</w:t>
            </w:r>
          </w:p>
        </w:tc>
      </w:tr>
    </w:tbl>
    <w:p w:rsidR="00377298" w:rsidRDefault="00377298">
      <w: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55"/>
        <w:gridCol w:w="2582"/>
        <w:gridCol w:w="5697"/>
        <w:gridCol w:w="1449"/>
        <w:gridCol w:w="2773"/>
      </w:tblGrid>
      <w:tr w:rsidR="00377298" w:rsidRPr="00733998" w:rsidTr="00691672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377298" w:rsidRPr="00733998" w:rsidRDefault="00377298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Politika i 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unapr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eđenja sustava kvalitete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77298" w:rsidRPr="00733998" w:rsidTr="00691672">
        <w:trPr>
          <w:trHeight w:val="988"/>
          <w:tblHeader/>
        </w:trPr>
        <w:tc>
          <w:tcPr>
            <w:tcW w:w="1112" w:type="pct"/>
            <w:gridSpan w:val="2"/>
            <w:vAlign w:val="center"/>
          </w:tcPr>
          <w:p w:rsidR="00377298" w:rsidRPr="00733998" w:rsidRDefault="00377298" w:rsidP="00691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33" w:type="pct"/>
            <w:vAlign w:val="center"/>
          </w:tcPr>
          <w:p w:rsidR="00377298" w:rsidRPr="00733998" w:rsidRDefault="00377298" w:rsidP="00691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68" w:type="pct"/>
            <w:vAlign w:val="center"/>
          </w:tcPr>
          <w:p w:rsidR="00377298" w:rsidRDefault="00377298" w:rsidP="00691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87" w:type="pct"/>
            <w:vAlign w:val="center"/>
          </w:tcPr>
          <w:p w:rsidR="00377298" w:rsidRDefault="00377298" w:rsidP="00691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  <w:p w:rsidR="00377298" w:rsidRPr="00733998" w:rsidRDefault="00377298" w:rsidP="00691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5C" w:rsidRPr="00733998" w:rsidTr="00377298">
        <w:trPr>
          <w:cantSplit/>
          <w:trHeight w:val="500"/>
        </w:trPr>
        <w:tc>
          <w:tcPr>
            <w:tcW w:w="100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 Strategije znanstvenih istraživanja</w:t>
            </w:r>
          </w:p>
        </w:tc>
        <w:tc>
          <w:tcPr>
            <w:tcW w:w="2233" w:type="pct"/>
          </w:tcPr>
          <w:p w:rsidR="00E2335C" w:rsidRDefault="000E38B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Radna </w:t>
            </w:r>
            <w:r w:rsidR="003C311E">
              <w:rPr>
                <w:rFonts w:ascii="Times New Roman" w:hAnsi="Times New Roman"/>
                <w:sz w:val="24"/>
                <w:szCs w:val="24"/>
              </w:rPr>
              <w:t xml:space="preserve">skupina 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je u završnoj fazi </w:t>
            </w:r>
            <w:r w:rsidR="00E2335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azv</w:t>
            </w:r>
            <w:r w:rsidR="00610370">
              <w:rPr>
                <w:rFonts w:ascii="Times New Roman" w:hAnsi="Times New Roman"/>
                <w:sz w:val="24"/>
                <w:szCs w:val="24"/>
              </w:rPr>
              <w:t>oja strategije</w:t>
            </w:r>
            <w:r w:rsidR="00E2335C" w:rsidRPr="00E573E1">
              <w:rPr>
                <w:rFonts w:ascii="Times New Roman" w:hAnsi="Times New Roman"/>
                <w:sz w:val="24"/>
                <w:szCs w:val="24"/>
              </w:rPr>
              <w:t xml:space="preserve"> znanstvenih istraživanja koja bi uz kratkoročne ciljeve i postignuća trebala uključivati i one dugoročne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, a s ciljem </w:t>
            </w:r>
            <w:r>
              <w:rPr>
                <w:rFonts w:ascii="Times New Roman" w:hAnsi="Times New Roman"/>
                <w:sz w:val="24"/>
                <w:szCs w:val="24"/>
              </w:rPr>
              <w:t>unaprijeđenija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znanstvene aktivnosti, </w:t>
            </w:r>
            <w:r>
              <w:rPr>
                <w:rFonts w:ascii="Times New Roman" w:hAnsi="Times New Roman"/>
                <w:sz w:val="24"/>
                <w:szCs w:val="24"/>
              </w:rPr>
              <w:t>vidljivosti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i prepoznatljivosti fakulteta.</w:t>
            </w:r>
            <w:r w:rsidR="0032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11E">
              <w:rPr>
                <w:rFonts w:ascii="Times New Roman" w:hAnsi="Times New Roman"/>
                <w:sz w:val="24"/>
                <w:szCs w:val="24"/>
              </w:rPr>
              <w:t>Očekuje se prihvaćanje Strategije od strane Fakultetskog vijeća te će ista biti dostupna na mrežnim stranicama fakulteta.</w:t>
            </w:r>
          </w:p>
        </w:tc>
        <w:tc>
          <w:tcPr>
            <w:tcW w:w="568" w:type="pct"/>
          </w:tcPr>
          <w:p w:rsidR="00E2335C" w:rsidRPr="00733998" w:rsidRDefault="000E38B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Početak 2018.</w:t>
            </w:r>
          </w:p>
        </w:tc>
        <w:tc>
          <w:tcPr>
            <w:tcW w:w="1087" w:type="pct"/>
          </w:tcPr>
          <w:p w:rsidR="00E2335C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skupina za izradu strategije znanstvenih istraživanja/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znanost i istraživanje</w:t>
            </w:r>
            <w:r w:rsidR="00610370" w:rsidRPr="006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E2335C" w:rsidRPr="00733998" w:rsidTr="00377298">
        <w:trPr>
          <w:cantSplit/>
          <w:trHeight w:val="500"/>
        </w:trPr>
        <w:tc>
          <w:tcPr>
            <w:tcW w:w="100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nove Strategije razvoja FBF-a za razdoblje 2018.-2022.</w:t>
            </w:r>
          </w:p>
        </w:tc>
        <w:tc>
          <w:tcPr>
            <w:tcW w:w="2233" w:type="pct"/>
          </w:tcPr>
          <w:p w:rsidR="00E2335C" w:rsidRDefault="000E38B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Radna skupina </w:t>
            </w:r>
            <w:r w:rsidR="003C311E">
              <w:rPr>
                <w:rFonts w:ascii="Times New Roman" w:hAnsi="Times New Roman"/>
                <w:sz w:val="24"/>
                <w:szCs w:val="24"/>
              </w:rPr>
              <w:t>je provela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analizu </w:t>
            </w:r>
            <w:r w:rsidR="00E2335C">
              <w:rPr>
                <w:rFonts w:ascii="Times New Roman" w:hAnsi="Times New Roman"/>
                <w:sz w:val="24"/>
                <w:szCs w:val="24"/>
              </w:rPr>
              <w:t>ostvareni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i neostvareni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strateški ciljevi iz proteklog razdoblja, preformulirat će se misija, vizija i strateški ciljevi za iduće razdoblje. U Strategiju će se uključiti očekivani pokazatelji ishoda koje je potrebno ostvariti i učinkoviti postupci za njihovo vrednovanje.</w:t>
            </w:r>
            <w:r w:rsidR="003C311E">
              <w:rPr>
                <w:rFonts w:ascii="Times New Roman" w:hAnsi="Times New Roman"/>
                <w:sz w:val="24"/>
                <w:szCs w:val="24"/>
              </w:rPr>
              <w:t xml:space="preserve"> Očekuje se prihvaćanje Strategije od strane Fakultetskog vijeća te će ista biti dostupna na mrežnim stranicama fakulteta.</w:t>
            </w:r>
          </w:p>
        </w:tc>
        <w:tc>
          <w:tcPr>
            <w:tcW w:w="568" w:type="pct"/>
          </w:tcPr>
          <w:p w:rsidR="00E2335C" w:rsidRDefault="005B5FD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prva polovica </w:t>
            </w:r>
            <w:r w:rsidR="00610370">
              <w:rPr>
                <w:rFonts w:ascii="Times New Roman" w:hAnsi="Times New Roman"/>
                <w:sz w:val="24"/>
                <w:szCs w:val="24"/>
              </w:rPr>
              <w:t>2018.</w:t>
            </w:r>
          </w:p>
        </w:tc>
        <w:tc>
          <w:tcPr>
            <w:tcW w:w="1087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Dekanski kolegij/Radna skupina za izradu Strategije razvoja Sveučilišta u Zagrebu Farmaceutsko-biokemijskog fakulteta 2018.-2022.</w:t>
            </w:r>
          </w:p>
        </w:tc>
      </w:tr>
      <w:tr w:rsidR="00E2335C" w:rsidRPr="00733998" w:rsidTr="00377298">
        <w:trPr>
          <w:cantSplit/>
          <w:trHeight w:val="500"/>
        </w:trPr>
        <w:tc>
          <w:tcPr>
            <w:tcW w:w="100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praćenje provođenja aktivnosti prema strategiji FBF-a</w:t>
            </w:r>
          </w:p>
        </w:tc>
        <w:tc>
          <w:tcPr>
            <w:tcW w:w="2233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Godišnje praćenje ostvarenih/neostvarenih aktivnosti u tekućoj akademskoj godini.</w:t>
            </w:r>
          </w:p>
        </w:tc>
        <w:tc>
          <w:tcPr>
            <w:tcW w:w="568" w:type="pct"/>
          </w:tcPr>
          <w:p w:rsidR="00E2335C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87" w:type="pct"/>
          </w:tcPr>
          <w:p w:rsidR="00E2335C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  <w:tr w:rsidR="00C6743C" w:rsidRPr="00733998" w:rsidTr="00377298">
        <w:trPr>
          <w:cantSplit/>
          <w:trHeight w:val="500"/>
        </w:trPr>
        <w:tc>
          <w:tcPr>
            <w:tcW w:w="100" w:type="pct"/>
          </w:tcPr>
          <w:p w:rsidR="00C6743C" w:rsidRPr="00C01F10" w:rsidRDefault="00C6743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C6743C" w:rsidRPr="00E17022" w:rsidRDefault="00C6743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Organiziranje Dana kvalitete FBF-a</w:t>
            </w:r>
          </w:p>
        </w:tc>
        <w:tc>
          <w:tcPr>
            <w:tcW w:w="2233" w:type="pct"/>
          </w:tcPr>
          <w:p w:rsidR="00C6743C" w:rsidRPr="00E17022" w:rsidRDefault="00C6743C" w:rsidP="0093381F">
            <w:pPr>
              <w:keepNext/>
              <w:keepLines/>
              <w:rPr>
                <w:rFonts w:ascii="&amp;quot" w:hAnsi="&amp;quot"/>
                <w:b/>
                <w:bCs/>
                <w:color w:val="111111"/>
                <w:sz w:val="24"/>
                <w:szCs w:val="24"/>
              </w:rPr>
            </w:pP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Organizacija Dana kvalitete na fakultetu u svrhu razmjene iskustava u procesima sustava osiguravanja kvalitete, podizanje svijesti o va</w:t>
            </w:r>
            <w:r w:rsidRPr="00E17022">
              <w:rPr>
                <w:rStyle w:val="Strong"/>
                <w:rFonts w:ascii="&amp;quot" w:hAnsi="&amp;quot" w:hint="eastAsia"/>
                <w:b w:val="0"/>
                <w:color w:val="111111"/>
                <w:sz w:val="24"/>
                <w:szCs w:val="24"/>
              </w:rPr>
              <w:t>ž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nosti kulture kvalitete. Kroz predavanja i radi</w:t>
            </w:r>
            <w:r w:rsidR="00FD30B4"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o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 xml:space="preserve">nice nastavnici i studenti FBF-a usvojit </w:t>
            </w:r>
            <w:r w:rsidRPr="00E17022">
              <w:rPr>
                <w:rStyle w:val="Strong"/>
                <w:rFonts w:ascii="&amp;quot" w:hAnsi="&amp;quot" w:hint="eastAsia"/>
                <w:b w:val="0"/>
                <w:color w:val="111111"/>
                <w:sz w:val="24"/>
                <w:szCs w:val="24"/>
              </w:rPr>
              <w:t>ć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e neke vje</w:t>
            </w:r>
            <w:r w:rsidRPr="00E17022">
              <w:rPr>
                <w:rStyle w:val="Strong"/>
                <w:rFonts w:ascii="&amp;quot" w:hAnsi="&amp;quot" w:hint="eastAsia"/>
                <w:b w:val="0"/>
                <w:color w:val="111111"/>
                <w:sz w:val="24"/>
                <w:szCs w:val="24"/>
              </w:rPr>
              <w:t>š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tine i alate za podizanje kvalitete nastave, pristupa u</w:t>
            </w:r>
            <w:r w:rsidRPr="00E17022">
              <w:rPr>
                <w:rStyle w:val="Strong"/>
                <w:rFonts w:ascii="&amp;quot" w:hAnsi="&amp;quot" w:hint="eastAsia"/>
                <w:b w:val="0"/>
                <w:color w:val="111111"/>
                <w:sz w:val="24"/>
                <w:szCs w:val="24"/>
              </w:rPr>
              <w:t>č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enju i druge potrebne za izlazak na tr</w:t>
            </w:r>
            <w:r w:rsidRPr="00E17022">
              <w:rPr>
                <w:rStyle w:val="Strong"/>
                <w:rFonts w:ascii="&amp;quot" w:hAnsi="&amp;quot" w:hint="eastAsia"/>
                <w:b w:val="0"/>
                <w:color w:val="111111"/>
                <w:sz w:val="24"/>
                <w:szCs w:val="24"/>
              </w:rPr>
              <w:t>ž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i</w:t>
            </w:r>
            <w:r w:rsidRPr="00E17022">
              <w:rPr>
                <w:rStyle w:val="Strong"/>
                <w:rFonts w:ascii="&amp;quot" w:hAnsi="&amp;quot" w:hint="eastAsia"/>
                <w:b w:val="0"/>
                <w:color w:val="111111"/>
                <w:sz w:val="24"/>
                <w:szCs w:val="24"/>
              </w:rPr>
              <w:t>š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te rada.</w:t>
            </w:r>
          </w:p>
        </w:tc>
        <w:tc>
          <w:tcPr>
            <w:tcW w:w="568" w:type="pct"/>
          </w:tcPr>
          <w:p w:rsidR="00C6743C" w:rsidRPr="00E17022" w:rsidRDefault="00C6743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 xml:space="preserve">21. 02. 2017. </w:t>
            </w:r>
          </w:p>
        </w:tc>
        <w:tc>
          <w:tcPr>
            <w:tcW w:w="1087" w:type="pct"/>
          </w:tcPr>
          <w:p w:rsidR="00C6743C" w:rsidRDefault="00C6743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Prodekan za kvalitetu i poslijediplomske specijalističke studije/ Uprava fakulteta/ Povjerenstvo za osiguravanje kvalitete</w:t>
            </w:r>
          </w:p>
        </w:tc>
      </w:tr>
    </w:tbl>
    <w:p w:rsidR="00377298" w:rsidRDefault="00377298">
      <w:pPr>
        <w:rPr>
          <w:sz w:val="6"/>
        </w:rPr>
      </w:pPr>
      <w:r>
        <w:rPr>
          <w:sz w:val="6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83"/>
        <w:gridCol w:w="2610"/>
        <w:gridCol w:w="5725"/>
        <w:gridCol w:w="1365"/>
        <w:gridCol w:w="2773"/>
      </w:tblGrid>
      <w:tr w:rsidR="00A06B06" w:rsidRPr="00733998" w:rsidTr="006E20F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A06B06" w:rsidRPr="00733998" w:rsidTr="006E20FF">
        <w:trPr>
          <w:trHeight w:val="988"/>
          <w:tblHeader/>
        </w:trPr>
        <w:tc>
          <w:tcPr>
            <w:tcW w:w="1134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44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3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87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6E20FF">
        <w:trPr>
          <w:cantSplit/>
          <w:trHeight w:val="1475"/>
        </w:trPr>
        <w:tc>
          <w:tcPr>
            <w:tcW w:w="111" w:type="pct"/>
          </w:tcPr>
          <w:p w:rsidR="00A06B06" w:rsidRPr="00C55389" w:rsidRDefault="00A06B0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A06B06" w:rsidRPr="00733998" w:rsidRDefault="00E25876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praćenje programa oba studija (Farmacije i Medicinske biokemije)</w:t>
            </w:r>
          </w:p>
        </w:tc>
        <w:tc>
          <w:tcPr>
            <w:tcW w:w="2244" w:type="pct"/>
          </w:tcPr>
          <w:p w:rsidR="00033B4F" w:rsidRDefault="00F264A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Provedba anketa završenih stručnjaka za provjeru stečenih kompetencija.</w:t>
            </w:r>
          </w:p>
          <w:p w:rsidR="00A06B06" w:rsidRPr="00733998" w:rsidRDefault="00033B4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Provedba anketa za integrirane studije putem Anketnog upitnika za studentice i studente koji su završili integrirani p</w:t>
            </w:r>
            <w:r w:rsidR="003C311E">
              <w:rPr>
                <w:rFonts w:ascii="Times New Roman" w:hAnsi="Times New Roman"/>
                <w:sz w:val="24"/>
                <w:szCs w:val="24"/>
              </w:rPr>
              <w:t>reddiplomski i diplomski studij.</w:t>
            </w:r>
          </w:p>
        </w:tc>
        <w:tc>
          <w:tcPr>
            <w:tcW w:w="535" w:type="pct"/>
          </w:tcPr>
          <w:p w:rsidR="00A06B06" w:rsidRPr="00733998" w:rsidRDefault="003C311E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E25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A06B06" w:rsidRPr="00733998" w:rsidRDefault="00E25876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</w:t>
            </w:r>
            <w:r w:rsidR="00610370">
              <w:rPr>
                <w:rFonts w:ascii="Times New Roman" w:hAnsi="Times New Roman"/>
                <w:sz w:val="24"/>
                <w:szCs w:val="24"/>
              </w:rPr>
              <w:t>studente i studijske programe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ovjerenstvo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E25876" w:rsidRPr="00733998" w:rsidTr="006E20FF">
        <w:trPr>
          <w:cantSplit/>
          <w:trHeight w:val="500"/>
        </w:trPr>
        <w:tc>
          <w:tcPr>
            <w:tcW w:w="111" w:type="pct"/>
          </w:tcPr>
          <w:p w:rsidR="00E25876" w:rsidRPr="00C55389" w:rsidRDefault="00E2587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25876" w:rsidRDefault="00E25876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studijskih programa za oba studija (Farmacije i Medicinske biokemije)</w:t>
            </w:r>
          </w:p>
        </w:tc>
        <w:tc>
          <w:tcPr>
            <w:tcW w:w="2244" w:type="pct"/>
          </w:tcPr>
          <w:p w:rsidR="00E25876" w:rsidRDefault="00DA03C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Revidirat će se postojeći studijski programi putem sastanaka s pojedinim Zavodima FBF-a, voditeljima kolegija i studenti</w:t>
            </w:r>
            <w:r w:rsidR="00151F5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završnih godina studija. </w:t>
            </w:r>
            <w:r w:rsidR="002B4EE7">
              <w:rPr>
                <w:rFonts w:ascii="Times New Roman" w:hAnsi="Times New Roman"/>
                <w:sz w:val="24"/>
                <w:szCs w:val="24"/>
              </w:rPr>
              <w:t xml:space="preserve">Temeljem revizije </w:t>
            </w:r>
            <w:r>
              <w:rPr>
                <w:rFonts w:ascii="Times New Roman" w:hAnsi="Times New Roman"/>
                <w:sz w:val="24"/>
                <w:szCs w:val="24"/>
              </w:rPr>
              <w:t>izrad</w:t>
            </w:r>
            <w:r w:rsidR="002B4EE7">
              <w:rPr>
                <w:rFonts w:ascii="Times New Roman" w:hAnsi="Times New Roman"/>
                <w:sz w:val="24"/>
                <w:szCs w:val="24"/>
              </w:rPr>
              <w:t xml:space="preserve">it će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Prijedlog revidiranog programa za oba studija (Farmacija i Medicinska biokemija). </w:t>
            </w:r>
          </w:p>
        </w:tc>
        <w:tc>
          <w:tcPr>
            <w:tcW w:w="535" w:type="pct"/>
          </w:tcPr>
          <w:p w:rsidR="00E25876" w:rsidRPr="00733998" w:rsidRDefault="00DA03C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Ljetni semestar </w:t>
            </w:r>
            <w:r w:rsidR="00DC71CC">
              <w:rPr>
                <w:rFonts w:ascii="Times New Roman" w:hAnsi="Times New Roman"/>
                <w:sz w:val="24"/>
                <w:szCs w:val="24"/>
              </w:rPr>
              <w:t>2017./2018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E2587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studente i studijske programe/ Povjerenstvo za studente i studijske programe </w:t>
            </w:r>
            <w:r w:rsidR="00E25876">
              <w:rPr>
                <w:rFonts w:ascii="Times New Roman" w:hAnsi="Times New Roman"/>
                <w:sz w:val="24"/>
                <w:szCs w:val="24"/>
              </w:rPr>
              <w:t>/Povjerenstvo za osiguravanje kvalitete/</w:t>
            </w:r>
            <w:r w:rsidR="00006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876">
              <w:rPr>
                <w:rFonts w:ascii="Times New Roman" w:hAnsi="Times New Roman"/>
                <w:sz w:val="24"/>
                <w:szCs w:val="24"/>
              </w:rPr>
              <w:t>Radna skupina</w:t>
            </w:r>
          </w:p>
        </w:tc>
      </w:tr>
      <w:tr w:rsidR="00A06B06" w:rsidRPr="00733998" w:rsidTr="006E20FF">
        <w:trPr>
          <w:cantSplit/>
          <w:trHeight w:val="500"/>
        </w:trPr>
        <w:tc>
          <w:tcPr>
            <w:tcW w:w="111" w:type="pct"/>
          </w:tcPr>
          <w:p w:rsidR="00A06B06" w:rsidRPr="00C55389" w:rsidRDefault="00A06B0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A06B06" w:rsidRDefault="00E25876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Provjeravanje ishoda učenja za pojedine kolegije u studijskim programima</w:t>
            </w:r>
          </w:p>
        </w:tc>
        <w:tc>
          <w:tcPr>
            <w:tcW w:w="2244" w:type="pct"/>
          </w:tcPr>
          <w:p w:rsidR="00A06B06" w:rsidRDefault="002F55FB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Voditelj kolegija </w:t>
            </w:r>
            <w:r w:rsidR="00343D06">
              <w:rPr>
                <w:rFonts w:ascii="Times New Roman" w:hAnsi="Times New Roman"/>
                <w:sz w:val="24"/>
                <w:szCs w:val="24"/>
              </w:rPr>
              <w:t xml:space="preserve">nakon polaganja ispita </w:t>
            </w:r>
            <w:r w:rsidR="00DA03C4">
              <w:rPr>
                <w:rFonts w:ascii="Times New Roman" w:hAnsi="Times New Roman"/>
                <w:sz w:val="24"/>
                <w:szCs w:val="24"/>
              </w:rPr>
              <w:t>provjeravat će ishode učenja te će se po potrebi revidirati i prilagođavati ishodi učenja temeljem realne procjene.</w:t>
            </w:r>
          </w:p>
        </w:tc>
        <w:tc>
          <w:tcPr>
            <w:tcW w:w="535" w:type="pct"/>
          </w:tcPr>
          <w:p w:rsidR="00A06B06" w:rsidRPr="00733998" w:rsidRDefault="00DA03C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</w:t>
            </w:r>
            <w:r w:rsidR="00DC71CC">
              <w:rPr>
                <w:rFonts w:ascii="Times New Roman" w:hAnsi="Times New Roman"/>
                <w:sz w:val="24"/>
                <w:szCs w:val="24"/>
              </w:rPr>
              <w:t xml:space="preserve"> svakog semestra u ak. god. 2017./2018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studente i studijske programe/ Povjerenstvo za studente i studijske programe </w:t>
            </w:r>
            <w:r w:rsidR="00E25876"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A06B06" w:rsidRPr="00733998" w:rsidTr="006E20FF">
        <w:trPr>
          <w:cantSplit/>
          <w:trHeight w:val="500"/>
        </w:trPr>
        <w:tc>
          <w:tcPr>
            <w:tcW w:w="111" w:type="pct"/>
          </w:tcPr>
          <w:p w:rsidR="00A06B06" w:rsidRPr="00C55389" w:rsidRDefault="00A06B0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A06B06" w:rsidRDefault="00DA03C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za uvođenje studija F</w:t>
            </w:r>
            <w:r w:rsidR="00E25876">
              <w:rPr>
                <w:rFonts w:ascii="Times New Roman" w:hAnsi="Times New Roman"/>
                <w:sz w:val="24"/>
                <w:szCs w:val="24"/>
              </w:rPr>
              <w:t>armacije na engleskom jeziku</w:t>
            </w:r>
          </w:p>
        </w:tc>
        <w:tc>
          <w:tcPr>
            <w:tcW w:w="2244" w:type="pct"/>
          </w:tcPr>
          <w:p w:rsidR="00A06B06" w:rsidRDefault="00DC71C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Radna skupina provodi analizu </w:t>
            </w:r>
            <w:r w:rsidR="00DA03C4">
              <w:rPr>
                <w:rFonts w:ascii="Times New Roman" w:hAnsi="Times New Roman"/>
                <w:sz w:val="24"/>
                <w:szCs w:val="24"/>
              </w:rPr>
              <w:t>potreba za uvođenjem studija Farmacije na engleskom jeziku te će se na temelju Prijedloga revidiranog programa za studij Farmacije izraditi Prijedlog programa za studij Farmacije na engleskom jeziku.</w:t>
            </w:r>
          </w:p>
        </w:tc>
        <w:tc>
          <w:tcPr>
            <w:tcW w:w="535" w:type="pct"/>
          </w:tcPr>
          <w:p w:rsidR="00A06B06" w:rsidRPr="00733998" w:rsidRDefault="00DA03C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Kraj </w:t>
            </w:r>
            <w:r w:rsidR="00DC71CC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studente i studijske programe/ Povjerenstvo za studente i studijske programe </w:t>
            </w:r>
            <w:r w:rsidR="00E25876"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033B4F" w:rsidRPr="00733998" w:rsidTr="006E20FF">
        <w:trPr>
          <w:cantSplit/>
          <w:trHeight w:val="500"/>
        </w:trPr>
        <w:tc>
          <w:tcPr>
            <w:tcW w:w="111" w:type="pct"/>
          </w:tcPr>
          <w:p w:rsidR="00033B4F" w:rsidRPr="00C55389" w:rsidRDefault="00033B4F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033B4F" w:rsidRDefault="00033B4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Provođenje studentske ankete za procjenu kvalitete rada nastavnika</w:t>
            </w:r>
          </w:p>
        </w:tc>
        <w:tc>
          <w:tcPr>
            <w:tcW w:w="2244" w:type="pct"/>
          </w:tcPr>
          <w:p w:rsidR="00033B4F" w:rsidRDefault="00033B4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suradnji sa sveučilišnim Uredom za upravljanje kvalitetom organizirat će se provođenje a</w:t>
            </w:r>
            <w:r w:rsidR="002B4EE7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kete po principu papir-olovka za sve</w:t>
            </w:r>
            <w:r w:rsidR="00DC71CC">
              <w:rPr>
                <w:rFonts w:ascii="Times New Roman" w:hAnsi="Times New Roman"/>
                <w:sz w:val="24"/>
                <w:szCs w:val="24"/>
              </w:rPr>
              <w:t xml:space="preserve"> nastavnike i suradnike FBF-a za koje anketa nije provedena u redovnom ciklusu u ak. god. 2016./2017.</w:t>
            </w:r>
          </w:p>
        </w:tc>
        <w:tc>
          <w:tcPr>
            <w:tcW w:w="535" w:type="pct"/>
          </w:tcPr>
          <w:p w:rsidR="00033B4F" w:rsidRPr="00733998" w:rsidRDefault="00DC71C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03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033B4F" w:rsidRPr="00733998" w:rsidRDefault="00033B4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  <w:tr w:rsidR="00E17022" w:rsidRPr="00C408BA" w:rsidTr="006E20FF">
        <w:trPr>
          <w:cantSplit/>
          <w:trHeight w:val="500"/>
        </w:trPr>
        <w:tc>
          <w:tcPr>
            <w:tcW w:w="111" w:type="pct"/>
          </w:tcPr>
          <w:p w:rsidR="00E17022" w:rsidRPr="00C408BA" w:rsidRDefault="00E17022" w:rsidP="00A33E02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17022" w:rsidRPr="00C408BA" w:rsidRDefault="00E170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408BA">
              <w:rPr>
                <w:rFonts w:ascii="Times New Roman" w:hAnsi="Times New Roman"/>
                <w:sz w:val="24"/>
                <w:szCs w:val="24"/>
              </w:rPr>
              <w:t xml:space="preserve">Revizija odluke o maksimalnom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broju ECTS bodova iz izbornih kolegija na drugim sastavnicama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SuZg</w:t>
            </w:r>
            <w:proofErr w:type="spellEnd"/>
          </w:p>
        </w:tc>
        <w:tc>
          <w:tcPr>
            <w:tcW w:w="2244" w:type="pct"/>
          </w:tcPr>
          <w:p w:rsidR="00E17022" w:rsidRPr="00C408BA" w:rsidRDefault="00E170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408BA">
              <w:rPr>
                <w:rFonts w:ascii="Times New Roman" w:hAnsi="Times New Roman"/>
                <w:sz w:val="24"/>
                <w:szCs w:val="24"/>
              </w:rPr>
              <w:t>Revidirat će se odluka o maksimalnom opsegu ECTS bodova koje studenti mogu upisivati na drugim sas</w:t>
            </w:r>
            <w:r>
              <w:rPr>
                <w:rFonts w:ascii="Times New Roman" w:hAnsi="Times New Roman"/>
                <w:sz w:val="24"/>
                <w:szCs w:val="24"/>
              </w:rPr>
              <w:t>tavnicama Sveučilišta u Zagrebu.</w:t>
            </w:r>
          </w:p>
        </w:tc>
        <w:tc>
          <w:tcPr>
            <w:tcW w:w="535" w:type="pct"/>
          </w:tcPr>
          <w:p w:rsidR="00E17022" w:rsidRPr="00C408BA" w:rsidRDefault="00E170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408BA"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1087" w:type="pct"/>
          </w:tcPr>
          <w:p w:rsidR="00E17022" w:rsidRPr="00C408BA" w:rsidRDefault="00E170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408BA">
              <w:rPr>
                <w:rFonts w:ascii="Times New Roman" w:hAnsi="Times New Roman"/>
                <w:sz w:val="24"/>
                <w:szCs w:val="24"/>
              </w:rPr>
              <w:t>Prodekan za studente i studijske programe/ Povjerenstvo za studente i studijske programe /Povjerenstvo za osiguravanje kvalitete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6E20FF" w:rsidRDefault="006E20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39"/>
        <w:gridCol w:w="2564"/>
        <w:gridCol w:w="5679"/>
        <w:gridCol w:w="1496"/>
        <w:gridCol w:w="2778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Učenje, poučavanja i v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rjednovanje studentsk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 rada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A06B06" w:rsidRPr="00733998" w:rsidTr="006E20FF">
        <w:trPr>
          <w:trHeight w:val="988"/>
          <w:tblHeader/>
        </w:trPr>
        <w:tc>
          <w:tcPr>
            <w:tcW w:w="1099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26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8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6E20FF">
        <w:trPr>
          <w:cantSplit/>
          <w:trHeight w:val="515"/>
        </w:trPr>
        <w:tc>
          <w:tcPr>
            <w:tcW w:w="94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A06B06" w:rsidRPr="00733998" w:rsidRDefault="006451DC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unaprjeđivanje e-učenja</w:t>
            </w:r>
          </w:p>
        </w:tc>
        <w:tc>
          <w:tcPr>
            <w:tcW w:w="2226" w:type="pct"/>
          </w:tcPr>
          <w:p w:rsidR="00A06B06" w:rsidRPr="00733998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Poticanje nastavnika za uvođenje novih metoda i tehnika učenja u nastavni proces, podizanje razine e-kolegija.</w:t>
            </w:r>
            <w:r w:rsidR="00DC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</w:tcPr>
          <w:p w:rsidR="00A06B06" w:rsidRPr="00733998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89" w:type="pct"/>
          </w:tcPr>
          <w:p w:rsidR="00A06B06" w:rsidRPr="00733998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kvalitete/Povjerenstvo za e-učenje</w:t>
            </w:r>
          </w:p>
        </w:tc>
      </w:tr>
      <w:tr w:rsidR="00A06B06" w:rsidRPr="00733998" w:rsidTr="006E20FF">
        <w:trPr>
          <w:cantSplit/>
          <w:trHeight w:val="500"/>
        </w:trPr>
        <w:tc>
          <w:tcPr>
            <w:tcW w:w="94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A06B06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C71CC">
              <w:rPr>
                <w:rFonts w:ascii="Times New Roman" w:hAnsi="Times New Roman"/>
                <w:sz w:val="24"/>
                <w:szCs w:val="24"/>
              </w:rPr>
              <w:t>rotokol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postupanja u slučaju podnošenja prigovora od strane studenata</w:t>
            </w:r>
          </w:p>
        </w:tc>
        <w:tc>
          <w:tcPr>
            <w:tcW w:w="2226" w:type="pct"/>
          </w:tcPr>
          <w:p w:rsidR="00A06B06" w:rsidRDefault="00DC71C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Praćenje uspješnosti primjene protokola </w:t>
            </w:r>
            <w:r w:rsidR="006451DC">
              <w:rPr>
                <w:rFonts w:ascii="Times New Roman" w:hAnsi="Times New Roman"/>
                <w:sz w:val="24"/>
                <w:szCs w:val="24"/>
              </w:rPr>
              <w:t>postupanja u slučaju podnošenja prigovora studenata na rad nastavnika.</w:t>
            </w:r>
          </w:p>
        </w:tc>
        <w:tc>
          <w:tcPr>
            <w:tcW w:w="586" w:type="pct"/>
          </w:tcPr>
          <w:p w:rsidR="00A06B06" w:rsidRPr="00733998" w:rsidRDefault="00DC71C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Ljetni semestar ak. god. 2017./2018</w:t>
            </w:r>
            <w:r w:rsidR="006451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</w:tcPr>
          <w:p w:rsidR="00A06B06" w:rsidRPr="00733998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 fakulteta/pravna služba/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</w:tbl>
    <w:p w:rsidR="006E20FF" w:rsidRDefault="006E20FF">
      <w:pPr>
        <w:rPr>
          <w:rFonts w:ascii="Times New Roman" w:hAnsi="Times New Roman"/>
          <w:b/>
          <w:sz w:val="24"/>
          <w:szCs w:val="24"/>
        </w:rPr>
      </w:pPr>
    </w:p>
    <w:p w:rsidR="006E20FF" w:rsidRDefault="006E20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364"/>
        <w:gridCol w:w="2296"/>
        <w:gridCol w:w="5812"/>
        <w:gridCol w:w="1416"/>
        <w:gridCol w:w="2868"/>
      </w:tblGrid>
      <w:tr w:rsidR="00A06B06" w:rsidRPr="00733998" w:rsidTr="0093381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043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78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5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124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93381F">
        <w:trPr>
          <w:trHeight w:val="515"/>
          <w:tblHeader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06B06" w:rsidRPr="00733998" w:rsidRDefault="00F972A9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Godišnje nagrađivanje i pohvale najboljim studentima sastavnice</w:t>
            </w:r>
          </w:p>
        </w:tc>
        <w:tc>
          <w:tcPr>
            <w:tcW w:w="2278" w:type="pct"/>
          </w:tcPr>
          <w:p w:rsidR="00A06B06" w:rsidRPr="00733998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 najboljim studentima javno dodjeljuje nagrade i pohvale na vijeću sastavnice temeljem pravilnika o studiranju na diplomskim studijima FBF-a.</w:t>
            </w:r>
          </w:p>
        </w:tc>
        <w:tc>
          <w:tcPr>
            <w:tcW w:w="555" w:type="pct"/>
          </w:tcPr>
          <w:p w:rsidR="00A06B06" w:rsidRPr="00733998" w:rsidRDefault="00DC71C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F97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C4677">
              <w:rPr>
                <w:rFonts w:ascii="Times New Roman" w:hAnsi="Times New Roman"/>
                <w:sz w:val="24"/>
                <w:szCs w:val="24"/>
              </w:rPr>
              <w:t xml:space="preserve">Povjerenstvo za studentske </w:t>
            </w:r>
            <w:r w:rsidR="002F55FB">
              <w:rPr>
                <w:rFonts w:ascii="Times New Roman" w:hAnsi="Times New Roman"/>
                <w:sz w:val="24"/>
                <w:szCs w:val="24"/>
              </w:rPr>
              <w:t xml:space="preserve">i diplomske </w:t>
            </w:r>
            <w:r w:rsidR="002C4677">
              <w:rPr>
                <w:rFonts w:ascii="Times New Roman" w:hAnsi="Times New Roman"/>
                <w:sz w:val="24"/>
                <w:szCs w:val="24"/>
              </w:rPr>
              <w:t>radove/</w:t>
            </w: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  <w:tr w:rsidR="00A06B06" w:rsidRPr="00733998" w:rsidTr="0093381F">
        <w:trPr>
          <w:trHeight w:val="500"/>
          <w:tblHeader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Praćenje napredovanja studenata kroz studij</w:t>
            </w:r>
          </w:p>
        </w:tc>
        <w:tc>
          <w:tcPr>
            <w:tcW w:w="2278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broja upisanih studenata na svaku studijsku godinu, analiza položenih ispita i postignutog uspjeha.</w:t>
            </w:r>
          </w:p>
        </w:tc>
        <w:tc>
          <w:tcPr>
            <w:tcW w:w="555" w:type="pct"/>
          </w:tcPr>
          <w:p w:rsidR="00A06B06" w:rsidRPr="00733998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DC71CC">
              <w:rPr>
                <w:rFonts w:ascii="Times New Roman" w:hAnsi="Times New Roman"/>
                <w:sz w:val="24"/>
                <w:szCs w:val="24"/>
              </w:rPr>
              <w:t>7./2018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ISVU koordinator/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A06B06" w:rsidRPr="00733998" w:rsidTr="0093381F">
        <w:trPr>
          <w:trHeight w:val="500"/>
          <w:tblHeader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Evidentiranje izvannastavnih aktivnosti studenata u ISVU</w:t>
            </w:r>
          </w:p>
        </w:tc>
        <w:tc>
          <w:tcPr>
            <w:tcW w:w="2278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Sudjelovanje studenata na ljetnim školama, seminarima, tečajevima i drugim izvannastavnim aktivnostima koje rezultiraju stjecajem određenih kompetencija i/ili razvojem vještina evidentirat će se u ISVU.</w:t>
            </w:r>
          </w:p>
        </w:tc>
        <w:tc>
          <w:tcPr>
            <w:tcW w:w="555" w:type="pct"/>
          </w:tcPr>
          <w:p w:rsidR="00A06B06" w:rsidRPr="00733998" w:rsidRDefault="00DC71C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F97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Povjerenstvo za studente i studijske programe </w:t>
            </w:r>
            <w:r w:rsidR="00F972A9">
              <w:rPr>
                <w:rFonts w:ascii="Times New Roman" w:hAnsi="Times New Roman"/>
                <w:sz w:val="24"/>
                <w:szCs w:val="24"/>
              </w:rPr>
              <w:t>/Povjerenstvo za međunarodnu suradnju/Povjerenstvo za osiguravanje kvalitete</w:t>
            </w:r>
          </w:p>
        </w:tc>
      </w:tr>
      <w:tr w:rsidR="00B63744" w:rsidRPr="00733998" w:rsidTr="0093381F">
        <w:trPr>
          <w:trHeight w:val="500"/>
          <w:tblHeader/>
        </w:trPr>
        <w:tc>
          <w:tcPr>
            <w:tcW w:w="143" w:type="pct"/>
          </w:tcPr>
          <w:p w:rsidR="00B63744" w:rsidRPr="00C01F10" w:rsidRDefault="00B63744" w:rsidP="00E573E1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B63744" w:rsidRPr="00E17022" w:rsidRDefault="00B6374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 xml:space="preserve">Regulirati horizontalnu mobilnost na </w:t>
            </w:r>
            <w:proofErr w:type="spellStart"/>
            <w:r w:rsidRPr="00E17022">
              <w:rPr>
                <w:rFonts w:ascii="Times New Roman" w:hAnsi="Times New Roman"/>
                <w:sz w:val="24"/>
                <w:szCs w:val="24"/>
              </w:rPr>
              <w:t>SuZg</w:t>
            </w:r>
            <w:proofErr w:type="spellEnd"/>
          </w:p>
        </w:tc>
        <w:tc>
          <w:tcPr>
            <w:tcW w:w="2278" w:type="pct"/>
          </w:tcPr>
          <w:p w:rsidR="00B63744" w:rsidRPr="00E17022" w:rsidRDefault="00CF6B7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Propisati postupak provedbe horizontalne mobilnosti. Popis predmeta uz potrebne ulazne kompetencije</w:t>
            </w:r>
            <w:r w:rsidR="00FD30B4" w:rsidRPr="00E17022">
              <w:rPr>
                <w:rFonts w:ascii="Times New Roman" w:hAnsi="Times New Roman"/>
                <w:sz w:val="24"/>
                <w:szCs w:val="24"/>
              </w:rPr>
              <w:t>, kao i kvota studenata na pojedinom predmetu,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 xml:space="preserve"> koje mogu upisati studenti koji studiraju na drugoj sastavnici bit će objavljen prije početka akademske godine na mrežnim stranicama fakulteta. </w:t>
            </w:r>
            <w:r w:rsidR="00E17022" w:rsidRPr="00E17022">
              <w:rPr>
                <w:rFonts w:ascii="Times New Roman" w:hAnsi="Times New Roman"/>
                <w:sz w:val="24"/>
                <w:szCs w:val="24"/>
              </w:rPr>
              <w:t>Pripremit će se potrebni obrasci za horizontalnu mobilnost.</w:t>
            </w:r>
          </w:p>
        </w:tc>
        <w:tc>
          <w:tcPr>
            <w:tcW w:w="555" w:type="pct"/>
          </w:tcPr>
          <w:p w:rsidR="00B63744" w:rsidRPr="00E17022" w:rsidRDefault="0024681E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1124" w:type="pct"/>
          </w:tcPr>
          <w:p w:rsidR="00B63744" w:rsidRDefault="0024681E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 xml:space="preserve">Prodekan za studente i studijske programe /Povjerenstvo za studente i studijske programe/ </w:t>
            </w:r>
            <w:r w:rsidR="00CF6B75" w:rsidRPr="00E17022">
              <w:rPr>
                <w:rFonts w:ascii="Times New Roman" w:hAnsi="Times New Roman"/>
                <w:sz w:val="24"/>
                <w:szCs w:val="24"/>
              </w:rPr>
              <w:t xml:space="preserve">ECTS koordinator/ 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365"/>
        <w:gridCol w:w="3005"/>
        <w:gridCol w:w="5245"/>
        <w:gridCol w:w="1416"/>
        <w:gridCol w:w="2725"/>
      </w:tblGrid>
      <w:tr w:rsidR="00A06B06" w:rsidRPr="00733998" w:rsidTr="0093381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Nastavno osoblje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321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056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5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68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93381F">
        <w:trPr>
          <w:cantSplit/>
          <w:trHeight w:val="515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06B06" w:rsidRPr="00733998" w:rsidRDefault="00F972A9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Planiranje zapošljavanja s obzirom na potrebe u nastavi</w:t>
            </w:r>
          </w:p>
        </w:tc>
        <w:tc>
          <w:tcPr>
            <w:tcW w:w="2056" w:type="pct"/>
          </w:tcPr>
          <w:p w:rsidR="003F754D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Analizirat će se opterećenje nastavnika i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suradnika u diplomskoj nastavi.</w:t>
            </w:r>
          </w:p>
          <w:p w:rsidR="00A06B06" w:rsidRPr="00733998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82CEF">
              <w:rPr>
                <w:rFonts w:ascii="Times New Roman" w:hAnsi="Times New Roman"/>
                <w:sz w:val="24"/>
                <w:szCs w:val="24"/>
              </w:rPr>
              <w:t>nalizirat će se opterećenja nastavnika aktivnostima koja nisu iskazana kroz nastavna opterećenja (ispiti, voditeljstva diplomskih radova).</w:t>
            </w:r>
          </w:p>
        </w:tc>
        <w:tc>
          <w:tcPr>
            <w:tcW w:w="555" w:type="pct"/>
          </w:tcPr>
          <w:p w:rsidR="00A06B06" w:rsidRPr="00733998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C82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A06B06" w:rsidRPr="00733998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Uprava/Povjerenstvo za </w:t>
            </w:r>
            <w:r w:rsidR="006607D9">
              <w:rPr>
                <w:rFonts w:ascii="Times New Roman" w:hAnsi="Times New Roman"/>
                <w:sz w:val="24"/>
                <w:szCs w:val="24"/>
              </w:rPr>
              <w:t xml:space="preserve">opća i </w:t>
            </w:r>
            <w:r>
              <w:rPr>
                <w:rFonts w:ascii="Times New Roman" w:hAnsi="Times New Roman"/>
                <w:sz w:val="24"/>
                <w:szCs w:val="24"/>
              </w:rPr>
              <w:t>kadrovska pitanja/Povjerenstvo za osiguravanje kvalitete</w:t>
            </w:r>
          </w:p>
        </w:tc>
      </w:tr>
      <w:tr w:rsidR="00A06B06" w:rsidRPr="00733998" w:rsidTr="0093381F">
        <w:trPr>
          <w:cantSplit/>
          <w:trHeight w:val="500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Planiranje stručnog usavršavanja nastavnika i suradnika</w:t>
            </w:r>
          </w:p>
        </w:tc>
        <w:tc>
          <w:tcPr>
            <w:tcW w:w="2056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Analizirat će se potrebe za upućivanjem zaposlenika na specijalizacije u zdravstvu kako bi se pr</w:t>
            </w:r>
            <w:r w:rsidR="002B4EE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donijelo povećanju kvalitete </w:t>
            </w:r>
            <w:r w:rsidR="002B4EE7">
              <w:rPr>
                <w:rFonts w:ascii="Times New Roman" w:hAnsi="Times New Roman"/>
                <w:sz w:val="24"/>
                <w:szCs w:val="24"/>
              </w:rPr>
              <w:t xml:space="preserve">izvođenja nastave </w:t>
            </w:r>
            <w:r>
              <w:rPr>
                <w:rFonts w:ascii="Times New Roman" w:hAnsi="Times New Roman"/>
                <w:sz w:val="24"/>
                <w:szCs w:val="24"/>
              </w:rPr>
              <w:t>stručnih predmeta.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54D" w:rsidRPr="002F55FB">
              <w:rPr>
                <w:rFonts w:ascii="Times New Roman" w:hAnsi="Times New Roman"/>
                <w:sz w:val="24"/>
                <w:szCs w:val="24"/>
              </w:rPr>
              <w:t>Razmotriti osiguravanje edukacije iz područja pedagogije, metodike i didaktike za nastavnike i suradnike.</w:t>
            </w:r>
          </w:p>
        </w:tc>
        <w:tc>
          <w:tcPr>
            <w:tcW w:w="555" w:type="pct"/>
          </w:tcPr>
          <w:p w:rsidR="00A06B06" w:rsidRPr="00733998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C82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A06B06" w:rsidRPr="00733998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kadrovska pitanja/Dekanski kolegij/Povjerenstvo za osiguravanje kvalitete</w:t>
            </w:r>
          </w:p>
        </w:tc>
      </w:tr>
      <w:tr w:rsidR="00A06B06" w:rsidRPr="00733998" w:rsidTr="0093381F">
        <w:trPr>
          <w:cantSplit/>
          <w:trHeight w:val="500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Angažiranje vanjskih suradnika u nastavi</w:t>
            </w:r>
          </w:p>
        </w:tc>
        <w:tc>
          <w:tcPr>
            <w:tcW w:w="2056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potrebi uključivanje stručnjaka iz prakse na pojedinim stručnim kolegijima i stručnom osposobljavanju.</w:t>
            </w:r>
          </w:p>
        </w:tc>
        <w:tc>
          <w:tcPr>
            <w:tcW w:w="555" w:type="pct"/>
          </w:tcPr>
          <w:p w:rsidR="00A06B06" w:rsidRPr="00733998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3F754D">
              <w:rPr>
                <w:rFonts w:ascii="Times New Roman" w:hAnsi="Times New Roman"/>
                <w:sz w:val="24"/>
                <w:szCs w:val="24"/>
              </w:rPr>
              <w:t>7./2018</w:t>
            </w:r>
          </w:p>
        </w:tc>
        <w:tc>
          <w:tcPr>
            <w:tcW w:w="1068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studente i studijske programe</w:t>
            </w:r>
          </w:p>
        </w:tc>
      </w:tr>
      <w:tr w:rsidR="009E5C13" w:rsidRPr="00733998" w:rsidTr="0093381F">
        <w:trPr>
          <w:cantSplit/>
          <w:trHeight w:val="500"/>
        </w:trPr>
        <w:tc>
          <w:tcPr>
            <w:tcW w:w="143" w:type="pct"/>
          </w:tcPr>
          <w:p w:rsidR="009E5C13" w:rsidRPr="00C01F10" w:rsidRDefault="009E5C13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E5C13" w:rsidRDefault="009E5C1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Pohađanje radionice za mentore koji planiraju preuzeti svoje prvo mentorstvo na doktorskom studiju ili su ga tek preuzeli</w:t>
            </w:r>
          </w:p>
        </w:tc>
        <w:tc>
          <w:tcPr>
            <w:tcW w:w="2056" w:type="pct"/>
          </w:tcPr>
          <w:p w:rsidR="009E5C13" w:rsidRDefault="009E5C1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potrebi će se zaposlenici uputiti na pohađanje navedene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radionice </w:t>
            </w:r>
            <w:r w:rsidR="003F754D" w:rsidRPr="002F55FB">
              <w:rPr>
                <w:rFonts w:ascii="Times New Roman" w:hAnsi="Times New Roman"/>
                <w:sz w:val="24"/>
                <w:szCs w:val="24"/>
              </w:rPr>
              <w:t>ukoliko ista bude organizirana od strane Sveučilišta ili drugog nadležnog tijela.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</w:tcPr>
          <w:p w:rsidR="009E5C13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1068" w:type="pct"/>
          </w:tcPr>
          <w:p w:rsidR="009E5C13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Povjerenstvo za studente i studijske programe </w:t>
            </w:r>
            <w:r w:rsidR="009E5C13"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3F754D" w:rsidRPr="00733998" w:rsidTr="0093381F">
        <w:trPr>
          <w:cantSplit/>
          <w:trHeight w:val="500"/>
        </w:trPr>
        <w:tc>
          <w:tcPr>
            <w:tcW w:w="143" w:type="pct"/>
          </w:tcPr>
          <w:p w:rsidR="003F754D" w:rsidRPr="00C01F10" w:rsidRDefault="003F754D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3F754D" w:rsidRDefault="002937A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Unaprjeđenje kvalitete diplomskih radova</w:t>
            </w:r>
          </w:p>
        </w:tc>
        <w:tc>
          <w:tcPr>
            <w:tcW w:w="2056" w:type="pct"/>
          </w:tcPr>
          <w:p w:rsidR="003F754D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Analizirati postojeći Pravilnik o izradi diplomskih radova te razraditi organizaciju i provođenje izrade i mentoriranja diplomskih radova. </w:t>
            </w:r>
          </w:p>
        </w:tc>
        <w:tc>
          <w:tcPr>
            <w:tcW w:w="555" w:type="pct"/>
          </w:tcPr>
          <w:p w:rsidR="003F754D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1068" w:type="pct"/>
          </w:tcPr>
          <w:p w:rsidR="003F754D" w:rsidRDefault="00F264A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 xml:space="preserve">Povjerenstvo za studentske </w:t>
            </w:r>
            <w:r w:rsidR="002F55FB" w:rsidRPr="002F55FB">
              <w:rPr>
                <w:rFonts w:ascii="Times New Roman" w:hAnsi="Times New Roman"/>
                <w:sz w:val="24"/>
                <w:szCs w:val="24"/>
              </w:rPr>
              <w:t xml:space="preserve">i diplomske </w:t>
            </w:r>
            <w:r w:rsidRPr="002F55FB">
              <w:rPr>
                <w:rFonts w:ascii="Times New Roman" w:hAnsi="Times New Roman"/>
                <w:sz w:val="24"/>
                <w:szCs w:val="24"/>
              </w:rPr>
              <w:t>radove/</w:t>
            </w:r>
            <w:r w:rsidR="003F754D"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</w:tbl>
    <w:p w:rsidR="00A06B06" w:rsidRDefault="00A06B06" w:rsidP="00A06B06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49"/>
        <w:gridCol w:w="2576"/>
        <w:gridCol w:w="5692"/>
        <w:gridCol w:w="1496"/>
        <w:gridCol w:w="2743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E573E1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5.1 </w:t>
            </w:r>
            <w:r w:rsidRPr="000D0F60">
              <w:rPr>
                <w:rFonts w:ascii="Times New Roman" w:hAnsi="Times New Roman"/>
                <w:b/>
                <w:sz w:val="24"/>
                <w:szCs w:val="24"/>
              </w:rPr>
              <w:t>Znanstveno-istraživačka i umjetnička djelatnost</w:t>
            </w:r>
          </w:p>
        </w:tc>
      </w:tr>
      <w:tr w:rsidR="00A06B06" w:rsidRPr="00733998" w:rsidTr="002F55FB">
        <w:trPr>
          <w:trHeight w:val="988"/>
          <w:tblHeader/>
        </w:trPr>
        <w:tc>
          <w:tcPr>
            <w:tcW w:w="1107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31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75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2F55FB">
        <w:trPr>
          <w:cantSplit/>
          <w:trHeight w:val="515"/>
        </w:trPr>
        <w:tc>
          <w:tcPr>
            <w:tcW w:w="98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A06B06" w:rsidRPr="00733998" w:rsidRDefault="00C82CEF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7E5D5D">
              <w:rPr>
                <w:rFonts w:ascii="Times New Roman" w:hAnsi="Times New Roman"/>
                <w:sz w:val="24"/>
                <w:szCs w:val="24"/>
              </w:rPr>
              <w:t>formiranje djelatnika FBF-a o prijavljivanju znanstvenih projekata.</w:t>
            </w:r>
          </w:p>
        </w:tc>
        <w:tc>
          <w:tcPr>
            <w:tcW w:w="2231" w:type="pct"/>
          </w:tcPr>
          <w:p w:rsidR="00A06B06" w:rsidRPr="00733998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informiranje o mogućnostima prijave i načinima vođenja domaćih i međunarodnih znanstvenih projekata.</w:t>
            </w:r>
          </w:p>
        </w:tc>
        <w:tc>
          <w:tcPr>
            <w:tcW w:w="586" w:type="pct"/>
          </w:tcPr>
          <w:p w:rsidR="00A06B06" w:rsidRPr="00733998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7E5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znanost i istraživanje</w:t>
            </w:r>
            <w:r w:rsidRPr="006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D5D"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A06B06" w:rsidRPr="00733998" w:rsidTr="002F55FB">
        <w:trPr>
          <w:cantSplit/>
          <w:trHeight w:val="500"/>
        </w:trPr>
        <w:tc>
          <w:tcPr>
            <w:tcW w:w="98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A06B06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Prezentiranje doktorskih studija</w:t>
            </w:r>
          </w:p>
        </w:tc>
        <w:tc>
          <w:tcPr>
            <w:tcW w:w="2231" w:type="pct"/>
          </w:tcPr>
          <w:p w:rsidR="00A06B06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Organizirat će se prezentacija doktorskih studija Fakulteta svim zainteresiranim kandidatima. </w:t>
            </w:r>
          </w:p>
        </w:tc>
        <w:tc>
          <w:tcPr>
            <w:tcW w:w="586" w:type="pct"/>
          </w:tcPr>
          <w:p w:rsidR="00A06B06" w:rsidRPr="00733998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7E5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A06B06" w:rsidRPr="00733998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Vijeće za doktorske studije/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znanost i istraživanje</w:t>
            </w:r>
          </w:p>
        </w:tc>
      </w:tr>
      <w:tr w:rsidR="006A6422" w:rsidRPr="00733998" w:rsidTr="002F55FB">
        <w:trPr>
          <w:cantSplit/>
          <w:trHeight w:val="500"/>
        </w:trPr>
        <w:tc>
          <w:tcPr>
            <w:tcW w:w="98" w:type="pct"/>
          </w:tcPr>
          <w:p w:rsidR="006A6422" w:rsidRPr="00C01F10" w:rsidRDefault="006A6422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A6422" w:rsidRDefault="006A64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Dodjela priznanja uspješnim znanstvenicima sastavnice</w:t>
            </w:r>
          </w:p>
        </w:tc>
        <w:tc>
          <w:tcPr>
            <w:tcW w:w="2231" w:type="pct"/>
          </w:tcPr>
          <w:p w:rsidR="006A6422" w:rsidRDefault="006A64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Vijeću sastavnice najuspješnijim znanstvenicima dodijelit će se priznanja i nagrade temeljem uvjeta propisanih Pravilnikom o nagradama i priznanjima.</w:t>
            </w:r>
          </w:p>
        </w:tc>
        <w:tc>
          <w:tcPr>
            <w:tcW w:w="586" w:type="pct"/>
          </w:tcPr>
          <w:p w:rsidR="006A6422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 ak. god. 2017./2018</w:t>
            </w:r>
            <w:r w:rsidR="006A6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6A6422" w:rsidRDefault="006A64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Dekan/</w:t>
            </w:r>
            <w:r w:rsidR="004054E0">
              <w:rPr>
                <w:rFonts w:ascii="Times New Roman" w:hAnsi="Times New Roman"/>
                <w:sz w:val="24"/>
                <w:szCs w:val="24"/>
              </w:rPr>
              <w:t xml:space="preserve"> Povjerenstvo za dodjelu nagrada i priznanja/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znanost i istraživanje</w:t>
            </w:r>
            <w:r w:rsidR="00610370" w:rsidRPr="006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2937A7" w:rsidRPr="00733998" w:rsidTr="002F55FB">
        <w:trPr>
          <w:cantSplit/>
          <w:trHeight w:val="500"/>
        </w:trPr>
        <w:tc>
          <w:tcPr>
            <w:tcW w:w="98" w:type="pct"/>
          </w:tcPr>
          <w:p w:rsidR="002937A7" w:rsidRPr="00C01F10" w:rsidRDefault="002937A7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2937A7" w:rsidRDefault="002937A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Poticanje interdisciplinarnih istraživanja između Zavoda FBF-a</w:t>
            </w:r>
          </w:p>
        </w:tc>
        <w:tc>
          <w:tcPr>
            <w:tcW w:w="2231" w:type="pct"/>
          </w:tcPr>
          <w:p w:rsidR="002937A7" w:rsidRDefault="002937A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Prezentacija znanstveno-istraživačkih projekata FBF-a</w:t>
            </w:r>
          </w:p>
        </w:tc>
        <w:tc>
          <w:tcPr>
            <w:tcW w:w="586" w:type="pct"/>
          </w:tcPr>
          <w:p w:rsidR="002937A7" w:rsidRDefault="002937A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75" w:type="pct"/>
          </w:tcPr>
          <w:p w:rsidR="002937A7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Prodekan za znanost i istraživanje</w:t>
            </w:r>
            <w:r w:rsidR="002937A7">
              <w:rPr>
                <w:rFonts w:ascii="Times New Roman" w:hAnsi="Times New Roman"/>
                <w:sz w:val="24"/>
                <w:szCs w:val="24"/>
              </w:rPr>
              <w:t>/Voditelji projekata</w:t>
            </w:r>
          </w:p>
        </w:tc>
      </w:tr>
      <w:tr w:rsidR="002F70B7" w:rsidRPr="00733998" w:rsidTr="002F55FB">
        <w:trPr>
          <w:cantSplit/>
          <w:trHeight w:val="500"/>
        </w:trPr>
        <w:tc>
          <w:tcPr>
            <w:tcW w:w="98" w:type="pct"/>
          </w:tcPr>
          <w:p w:rsidR="002F70B7" w:rsidRPr="00C01F10" w:rsidRDefault="002F70B7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2F70B7" w:rsidRPr="00E17022" w:rsidRDefault="002F70B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Poticanje uključivanja studenata u znanstveno-istraživački rad na Zavodima FBF-a</w:t>
            </w:r>
          </w:p>
        </w:tc>
        <w:tc>
          <w:tcPr>
            <w:tcW w:w="2231" w:type="pct"/>
          </w:tcPr>
          <w:p w:rsidR="002F70B7" w:rsidRPr="00E17022" w:rsidRDefault="0095498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 xml:space="preserve">Analizirat će se mogućnosti i potrebe nastavnika FBF-a da se u znanstveno-istraživački rad uključe zainteresirani studenti. Lista potencijalnih mentora će se ažurirati semestralno i biti dostupna na mrežnim stranicama fakulteta. </w:t>
            </w:r>
          </w:p>
        </w:tc>
        <w:tc>
          <w:tcPr>
            <w:tcW w:w="586" w:type="pct"/>
          </w:tcPr>
          <w:p w:rsidR="002F70B7" w:rsidRPr="00E17022" w:rsidRDefault="002F70B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1075" w:type="pct"/>
          </w:tcPr>
          <w:p w:rsidR="002F70B7" w:rsidRDefault="002F70B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Povjerenstvo za osiguravanje kvalitete/Prodekan za kvalitetu i poslijediplomske specijalističke studije</w:t>
            </w:r>
            <w:r w:rsidR="00FD30B4" w:rsidRPr="00E17022">
              <w:rPr>
                <w:rFonts w:ascii="Times New Roman" w:hAnsi="Times New Roman"/>
                <w:sz w:val="24"/>
                <w:szCs w:val="24"/>
              </w:rPr>
              <w:t>/Prodekan za znanost i istraživanje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237"/>
        <w:gridCol w:w="2707"/>
        <w:gridCol w:w="5531"/>
        <w:gridCol w:w="1413"/>
        <w:gridCol w:w="2868"/>
      </w:tblGrid>
      <w:tr w:rsidR="00A06B06" w:rsidRPr="00733998" w:rsidTr="0093381F">
        <w:trPr>
          <w:trHeight w:val="20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E573E1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5.2 </w:t>
            </w:r>
            <w:r w:rsidR="003F754D">
              <w:rPr>
                <w:rFonts w:ascii="Times New Roman" w:hAnsi="Times New Roman"/>
                <w:b/>
                <w:sz w:val="24"/>
                <w:szCs w:val="24"/>
              </w:rPr>
              <w:t>Stručna djelatnost</w:t>
            </w:r>
          </w:p>
        </w:tc>
      </w:tr>
      <w:tr w:rsidR="00A06B06" w:rsidRPr="00733998" w:rsidTr="00377298">
        <w:trPr>
          <w:trHeight w:val="20"/>
          <w:tblHeader/>
        </w:trPr>
        <w:tc>
          <w:tcPr>
            <w:tcW w:w="1154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68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54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124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trHeight w:val="20"/>
          <w:tblHeader/>
        </w:trPr>
        <w:tc>
          <w:tcPr>
            <w:tcW w:w="9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06B06" w:rsidRPr="0055211A" w:rsidRDefault="006F37F0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Organizacija, provođenje i kontinuirano praćenje Stručnog osposobljavanja za ljekarnike (SO)</w:t>
            </w:r>
          </w:p>
        </w:tc>
        <w:tc>
          <w:tcPr>
            <w:tcW w:w="2168" w:type="pct"/>
          </w:tcPr>
          <w:p w:rsidR="00A06B06" w:rsidRDefault="006F37F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 će se raspodijeliti po javnim i bolničkim ljekarnama te odgovarajućim laboratorijima.</w:t>
            </w:r>
          </w:p>
          <w:p w:rsidR="006F37F0" w:rsidRDefault="006F37F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Mentori će se educirati prije i tijekom SO te će se pratiti razvoj studentskih kompetencija.</w:t>
            </w:r>
          </w:p>
          <w:p w:rsidR="006F37F0" w:rsidRDefault="006F37F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Postavit će se platforma e-portfolio pomoću koje će se detaljno pratiti studentske aktivnosti na SO.</w:t>
            </w:r>
          </w:p>
          <w:p w:rsidR="006F37F0" w:rsidRPr="00733998" w:rsidRDefault="006F37F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Dizajnirat će se i analizirati ankete za procjenu zadovoljstva studenata i mentora.</w:t>
            </w:r>
          </w:p>
        </w:tc>
        <w:tc>
          <w:tcPr>
            <w:tcW w:w="554" w:type="pct"/>
          </w:tcPr>
          <w:p w:rsidR="00A06B06" w:rsidRPr="00733998" w:rsidRDefault="008878D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6F3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6F37F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primijenjenu farmaciju</w:t>
            </w:r>
          </w:p>
        </w:tc>
      </w:tr>
      <w:tr w:rsidR="00A06B06" w:rsidRPr="00733998" w:rsidTr="00377298">
        <w:trPr>
          <w:trHeight w:val="20"/>
          <w:tblHeader/>
        </w:trPr>
        <w:tc>
          <w:tcPr>
            <w:tcW w:w="9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06B06" w:rsidRDefault="0055211A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Evidencija stručne djelatnosti nastavnika na razini sastavnice</w:t>
            </w:r>
          </w:p>
        </w:tc>
        <w:tc>
          <w:tcPr>
            <w:tcW w:w="2168" w:type="pct"/>
          </w:tcPr>
          <w:p w:rsidR="00A06B06" w:rsidRPr="002F55FB" w:rsidRDefault="0055211A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Evidentirat će se sudjelovanje zaposlenika u radu strukovnih organizacija (društva i komore), objavljeni stručni radovi i uredništva stručnih časopisa nastavnika, popularizacijske aktivnosti vezano uz prezentaciju i vidljivost FBF-a u društvu</w:t>
            </w:r>
            <w:r w:rsidR="007B56F4" w:rsidRPr="002F55FB">
              <w:rPr>
                <w:rFonts w:ascii="Times New Roman" w:hAnsi="Times New Roman"/>
                <w:sz w:val="24"/>
                <w:szCs w:val="24"/>
              </w:rPr>
              <w:t>.</w:t>
            </w:r>
            <w:r w:rsidR="008878D3" w:rsidRPr="002F55FB">
              <w:rPr>
                <w:rFonts w:ascii="Times New Roman" w:hAnsi="Times New Roman"/>
                <w:sz w:val="24"/>
                <w:szCs w:val="24"/>
              </w:rPr>
              <w:t xml:space="preserve"> Podatci će biti dostupni na mrežnim stranicama.</w:t>
            </w:r>
          </w:p>
        </w:tc>
        <w:tc>
          <w:tcPr>
            <w:tcW w:w="554" w:type="pct"/>
          </w:tcPr>
          <w:p w:rsidR="00A06B06" w:rsidRPr="00733998" w:rsidRDefault="008878D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Ljetni semestar ak. god. 2017./2018</w:t>
            </w:r>
            <w:r w:rsidR="00552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55211A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kvalitete/Središnja knjižnica FBF-a</w:t>
            </w:r>
            <w:r w:rsidR="003510AD">
              <w:rPr>
                <w:rFonts w:ascii="Times New Roman" w:hAnsi="Times New Roman"/>
                <w:sz w:val="24"/>
                <w:szCs w:val="24"/>
              </w:rPr>
              <w:t>/Uredništvo web stranice</w:t>
            </w:r>
          </w:p>
        </w:tc>
      </w:tr>
      <w:tr w:rsidR="007B56F4" w:rsidRPr="00733998" w:rsidTr="00377298">
        <w:trPr>
          <w:trHeight w:val="20"/>
          <w:tblHeader/>
        </w:trPr>
        <w:tc>
          <w:tcPr>
            <w:tcW w:w="93" w:type="pct"/>
          </w:tcPr>
          <w:p w:rsidR="007B56F4" w:rsidRPr="00C01F10" w:rsidRDefault="007B56F4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B56F4" w:rsidRDefault="007B56F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Evidencija savjetodavnih uloga nastavnika u međunarodnim, državnim, regionalnim te lokalnim ustanovama ili tijelima.</w:t>
            </w:r>
          </w:p>
        </w:tc>
        <w:tc>
          <w:tcPr>
            <w:tcW w:w="2168" w:type="pct"/>
          </w:tcPr>
          <w:p w:rsidR="007B56F4" w:rsidRPr="002F55FB" w:rsidRDefault="007B56F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Provedenom evidencijom poboljšat će se dostupnost podataka o savjetodavnoj i stručnoj djelatnosti nastavnika.</w:t>
            </w:r>
            <w:r w:rsidR="008878D3" w:rsidRPr="002F55FB">
              <w:rPr>
                <w:rFonts w:ascii="Times New Roman" w:hAnsi="Times New Roman"/>
                <w:sz w:val="24"/>
                <w:szCs w:val="24"/>
              </w:rPr>
              <w:t xml:space="preserve"> Podatci će biti dostupni na mrežnim stranicama. </w:t>
            </w:r>
          </w:p>
          <w:p w:rsidR="008878D3" w:rsidRPr="002F55FB" w:rsidRDefault="008878D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7B56F4" w:rsidRDefault="008878D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7B5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7B56F4" w:rsidRDefault="007B56F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kvalitete/Središnja knjižnica FBF-a/Uredništvo web stranice</w:t>
            </w:r>
          </w:p>
        </w:tc>
      </w:tr>
      <w:tr w:rsidR="00A06B06" w:rsidRPr="00733998" w:rsidTr="00377298">
        <w:trPr>
          <w:trHeight w:val="20"/>
          <w:tblHeader/>
        </w:trPr>
        <w:tc>
          <w:tcPr>
            <w:tcW w:w="9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06B06" w:rsidRDefault="003510A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 sastanaka/tribina s poslodavcima/stručnjacima iz gospodarstva</w:t>
            </w:r>
          </w:p>
        </w:tc>
        <w:tc>
          <w:tcPr>
            <w:tcW w:w="2168" w:type="pct"/>
          </w:tcPr>
          <w:p w:rsidR="00A06B06" w:rsidRDefault="00DE31A8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 sastanaka sa stručnjacima iz industrije, gospodarstva i struke pridonijelo bi boljem povezivanju struke i fakulteta te boljoj informiranosti studenata/nastavnika/stručnjaka.</w:t>
            </w:r>
          </w:p>
        </w:tc>
        <w:tc>
          <w:tcPr>
            <w:tcW w:w="554" w:type="pct"/>
          </w:tcPr>
          <w:p w:rsidR="00A06B06" w:rsidRPr="00733998" w:rsidRDefault="008878D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DE3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DE31A8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suradnju s gospodarstvom/Povjerenstvo za osiguravanje kvalitete</w:t>
            </w:r>
            <w:r w:rsidR="008878D3">
              <w:rPr>
                <w:rFonts w:ascii="Times New Roman" w:hAnsi="Times New Roman"/>
                <w:sz w:val="24"/>
                <w:szCs w:val="24"/>
              </w:rPr>
              <w:t>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Prodekan za studente i studijske programe</w:t>
            </w:r>
          </w:p>
        </w:tc>
      </w:tr>
    </w:tbl>
    <w:p w:rsidR="0093381F" w:rsidRDefault="0093381F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250"/>
        <w:gridCol w:w="2827"/>
        <w:gridCol w:w="8"/>
        <w:gridCol w:w="5245"/>
        <w:gridCol w:w="1564"/>
        <w:gridCol w:w="2862"/>
      </w:tblGrid>
      <w:tr w:rsidR="0093381F" w:rsidRPr="00733998" w:rsidTr="00377298">
        <w:trPr>
          <w:trHeight w:val="20"/>
          <w:tblHeader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93381F" w:rsidRPr="00733998" w:rsidRDefault="0093381F" w:rsidP="00691672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 Stručna djelatnost</w:t>
            </w:r>
          </w:p>
        </w:tc>
      </w:tr>
      <w:tr w:rsidR="0093381F" w:rsidRPr="00733998" w:rsidTr="00377298">
        <w:trPr>
          <w:trHeight w:val="20"/>
          <w:tblHeader/>
        </w:trPr>
        <w:tc>
          <w:tcPr>
            <w:tcW w:w="1206" w:type="pct"/>
            <w:gridSpan w:val="2"/>
            <w:vAlign w:val="center"/>
          </w:tcPr>
          <w:p w:rsidR="0093381F" w:rsidRPr="00733998" w:rsidRDefault="0093381F" w:rsidP="00691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059" w:type="pct"/>
            <w:gridSpan w:val="2"/>
            <w:vAlign w:val="center"/>
          </w:tcPr>
          <w:p w:rsidR="0093381F" w:rsidRPr="00733998" w:rsidRDefault="0093381F" w:rsidP="00691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611" w:type="pct"/>
            <w:vAlign w:val="center"/>
          </w:tcPr>
          <w:p w:rsidR="0093381F" w:rsidRDefault="0093381F" w:rsidP="00691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124" w:type="pct"/>
            <w:vAlign w:val="center"/>
          </w:tcPr>
          <w:p w:rsidR="0093381F" w:rsidRPr="00733998" w:rsidRDefault="0093381F" w:rsidP="00691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377298" w:rsidRPr="00733998" w:rsidTr="00377298">
        <w:trPr>
          <w:trHeight w:val="20"/>
          <w:tblHeader/>
        </w:trPr>
        <w:tc>
          <w:tcPr>
            <w:tcW w:w="98" w:type="pct"/>
          </w:tcPr>
          <w:p w:rsidR="00377298" w:rsidRPr="00C01F10" w:rsidRDefault="00377298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377298" w:rsidRDefault="00377298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Organizacija tečajeva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cjeloživotno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usavršavanje</w:t>
            </w:r>
          </w:p>
        </w:tc>
        <w:tc>
          <w:tcPr>
            <w:tcW w:w="2056" w:type="pct"/>
          </w:tcPr>
          <w:p w:rsidR="00377298" w:rsidRPr="00377298" w:rsidRDefault="00377298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77298">
              <w:rPr>
                <w:rFonts w:ascii="Times New Roman" w:hAnsi="Times New Roman"/>
                <w:sz w:val="24"/>
                <w:szCs w:val="24"/>
              </w:rPr>
              <w:t>Organizacijom tečajeva stručnog usavršavanja osigurat će se kontinuirana edukacija završenih stručnjaka i vidljivost FBF-a kao vodeće znanstveno-nastavne institucije u polju farmacije i medicinske biokemije.</w:t>
            </w:r>
          </w:p>
        </w:tc>
        <w:tc>
          <w:tcPr>
            <w:tcW w:w="613" w:type="pct"/>
          </w:tcPr>
          <w:p w:rsidR="00377298" w:rsidRDefault="00377298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1122" w:type="pct"/>
          </w:tcPr>
          <w:p w:rsidR="00377298" w:rsidRDefault="00377298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primijenjenu farmaciju/Centar primijenjenu medicinsku biokemiju/Dekanski kolegij</w:t>
            </w:r>
          </w:p>
        </w:tc>
      </w:tr>
    </w:tbl>
    <w:p w:rsidR="0093381F" w:rsidRDefault="009338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1"/>
        <w:gridCol w:w="2658"/>
        <w:gridCol w:w="5773"/>
        <w:gridCol w:w="1496"/>
        <w:gridCol w:w="2498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 za učenje i podrška</w:t>
            </w:r>
            <w:r w:rsidRPr="009C583C">
              <w:rPr>
                <w:rFonts w:ascii="Times New Roman" w:hAnsi="Times New Roman"/>
                <w:b/>
                <w:sz w:val="24"/>
                <w:szCs w:val="24"/>
              </w:rPr>
              <w:t xml:space="preserve"> studentima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172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3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7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30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06B06" w:rsidRPr="00733998" w:rsidRDefault="0055211A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Podrška studentima lošijeg imovinskog statusa</w:t>
            </w:r>
          </w:p>
        </w:tc>
        <w:tc>
          <w:tcPr>
            <w:tcW w:w="2263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Studentima lošijeg imovinskog statusa omogućit će se </w:t>
            </w:r>
            <w:r w:rsidR="00E573E1">
              <w:rPr>
                <w:rFonts w:ascii="Times New Roman" w:hAnsi="Times New Roman"/>
                <w:sz w:val="24"/>
                <w:szCs w:val="24"/>
              </w:rPr>
              <w:t xml:space="preserve">obročno </w:t>
            </w:r>
            <w:r>
              <w:rPr>
                <w:rFonts w:ascii="Times New Roman" w:hAnsi="Times New Roman"/>
                <w:sz w:val="24"/>
                <w:szCs w:val="24"/>
              </w:rPr>
              <w:t>plaćanje participacije u troškovima studija ili će ih se oslobod</w:t>
            </w:r>
            <w:r w:rsidR="00857BF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ti od plaćanja školarine</w:t>
            </w:r>
            <w:r w:rsidR="002937A7">
              <w:rPr>
                <w:rFonts w:ascii="Times New Roman" w:hAnsi="Times New Roman"/>
                <w:sz w:val="24"/>
                <w:szCs w:val="24"/>
              </w:rPr>
              <w:t xml:space="preserve"> te će im se omogućiti temeljem odgovarajuće dokumentacije upisivanje mirovanja.</w:t>
            </w:r>
          </w:p>
        </w:tc>
        <w:tc>
          <w:tcPr>
            <w:tcW w:w="586" w:type="pct"/>
          </w:tcPr>
          <w:p w:rsidR="00A06B06" w:rsidRPr="00733998" w:rsidRDefault="008878D3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</w:t>
            </w:r>
          </w:p>
        </w:tc>
      </w:tr>
      <w:tr w:rsidR="00A06B06" w:rsidRPr="00733998" w:rsidTr="00377298">
        <w:trPr>
          <w:cantSplit/>
          <w:trHeight w:val="500"/>
        </w:trPr>
        <w:tc>
          <w:tcPr>
            <w:tcW w:w="130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06B06" w:rsidRDefault="0055211A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Podrška studentima za nabavljanje zaštitne opreme</w:t>
            </w:r>
          </w:p>
        </w:tc>
        <w:tc>
          <w:tcPr>
            <w:tcW w:w="2263" w:type="pct"/>
          </w:tcPr>
          <w:p w:rsidR="00A06B06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 će dobiti dio zaštitne opreme (zaštitne naočale, kute).</w:t>
            </w:r>
          </w:p>
        </w:tc>
        <w:tc>
          <w:tcPr>
            <w:tcW w:w="586" w:type="pct"/>
          </w:tcPr>
          <w:p w:rsidR="00A06B06" w:rsidRPr="00733998" w:rsidRDefault="008878D3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</w:t>
            </w:r>
          </w:p>
        </w:tc>
      </w:tr>
      <w:tr w:rsidR="00A93071" w:rsidRPr="00733998" w:rsidTr="00377298">
        <w:trPr>
          <w:cantSplit/>
          <w:trHeight w:val="500"/>
        </w:trPr>
        <w:tc>
          <w:tcPr>
            <w:tcW w:w="130" w:type="pct"/>
          </w:tcPr>
          <w:p w:rsidR="00A93071" w:rsidRPr="00C01F10" w:rsidRDefault="00A93071" w:rsidP="00E573E1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Financijska i logistička podrška studentskim projektima</w:t>
            </w:r>
          </w:p>
        </w:tc>
        <w:tc>
          <w:tcPr>
            <w:tcW w:w="2263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Temeljem odgovarajuće dokumentacije i važnosti studentskih projekata za studente i širu zajednicu, FBF će osigurati dio potrebnih financijskih sredstava te nužnu logističku podršku.</w:t>
            </w:r>
          </w:p>
        </w:tc>
        <w:tc>
          <w:tcPr>
            <w:tcW w:w="586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79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</w:t>
            </w:r>
          </w:p>
        </w:tc>
      </w:tr>
    </w:tbl>
    <w:p w:rsidR="0093381F" w:rsidRDefault="0093381F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93381F" w:rsidRDefault="009338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64"/>
        <w:gridCol w:w="2691"/>
        <w:gridCol w:w="5807"/>
        <w:gridCol w:w="1363"/>
        <w:gridCol w:w="2531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Upravljanje informacijama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A06B06" w:rsidRPr="00733998" w:rsidTr="003510AD">
        <w:trPr>
          <w:trHeight w:val="988"/>
          <w:tblHeader/>
        </w:trPr>
        <w:tc>
          <w:tcPr>
            <w:tcW w:w="1197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76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34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A06B06" w:rsidRPr="00733998" w:rsidRDefault="003510AD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stečenih kompetencija za studente integriranog studija farmacije (5. godina)</w:t>
            </w:r>
          </w:p>
        </w:tc>
        <w:tc>
          <w:tcPr>
            <w:tcW w:w="2276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Ankete mentora-poslodavaca dat će uvid u implementaciju staža u integrirani studij farmacije.</w:t>
            </w:r>
            <w:r w:rsidR="0088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</w:tcPr>
          <w:p w:rsidR="00A06B06" w:rsidRPr="00733998" w:rsidRDefault="008878D3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primijenjenu farmaciju/Povjerenstvo za osiguravanje kvalitete</w:t>
            </w:r>
          </w:p>
        </w:tc>
      </w:tr>
      <w:tr w:rsidR="002937A7" w:rsidRPr="00733998" w:rsidTr="00377298">
        <w:trPr>
          <w:cantSplit/>
          <w:trHeight w:val="515"/>
        </w:trPr>
        <w:tc>
          <w:tcPr>
            <w:tcW w:w="143" w:type="pct"/>
          </w:tcPr>
          <w:p w:rsidR="002937A7" w:rsidRPr="00C01F10" w:rsidRDefault="002937A7" w:rsidP="00E573E1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2937A7" w:rsidRDefault="00A93071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Evidencija podataka o završenim studentima.</w:t>
            </w:r>
          </w:p>
        </w:tc>
        <w:tc>
          <w:tcPr>
            <w:tcW w:w="2276" w:type="pct"/>
          </w:tcPr>
          <w:p w:rsidR="002937A7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Izraditi registar završenih studenata (alumnija) te prikupiti podatke o njihovoj zaposlenosti i karijeri</w:t>
            </w:r>
          </w:p>
        </w:tc>
        <w:tc>
          <w:tcPr>
            <w:tcW w:w="534" w:type="pct"/>
          </w:tcPr>
          <w:p w:rsidR="002937A7" w:rsidRDefault="002937A7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2937A7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93381F" w:rsidRDefault="009338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1"/>
        <w:gridCol w:w="2658"/>
        <w:gridCol w:w="5773"/>
        <w:gridCol w:w="1496"/>
        <w:gridCol w:w="2498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172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3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7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30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06B06" w:rsidRPr="00733998" w:rsidRDefault="003510AD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Javno objavljivanje informacija o studijima, studentima, aktivnostima na FBF-u i drugim aktualnim temama od interesa za struku</w:t>
            </w:r>
          </w:p>
        </w:tc>
        <w:tc>
          <w:tcPr>
            <w:tcW w:w="2263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Transparentnost dobivenih rezultata, redovito ažuriranje mrežnih stranica FBF-a, obavještavanje Sveučilišta, relevantnih društava i komora o aktualnostima na FBF-u.</w:t>
            </w:r>
          </w:p>
        </w:tc>
        <w:tc>
          <w:tcPr>
            <w:tcW w:w="586" w:type="pct"/>
          </w:tcPr>
          <w:p w:rsidR="00A06B06" w:rsidRPr="00733998" w:rsidRDefault="008878D3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A06B06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kvalitete/Uredn</w:t>
            </w:r>
            <w:r w:rsidR="007B56F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štvo web stranice/</w:t>
            </w:r>
            <w:r w:rsidR="0008406E">
              <w:rPr>
                <w:rFonts w:ascii="Times New Roman" w:hAnsi="Times New Roman"/>
                <w:sz w:val="24"/>
                <w:szCs w:val="24"/>
              </w:rPr>
              <w:t>Službe Dekanata</w:t>
            </w:r>
          </w:p>
          <w:p w:rsidR="00A93071" w:rsidRPr="00733998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5E" w:rsidRPr="00733998" w:rsidTr="00377298">
        <w:trPr>
          <w:cantSplit/>
          <w:trHeight w:val="515"/>
        </w:trPr>
        <w:tc>
          <w:tcPr>
            <w:tcW w:w="130" w:type="pct"/>
          </w:tcPr>
          <w:p w:rsidR="005E235E" w:rsidRPr="00C01F10" w:rsidRDefault="005E235E" w:rsidP="00E573E1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5E235E" w:rsidRDefault="005E235E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Obavijesti o važnim postignućima</w:t>
            </w:r>
          </w:p>
        </w:tc>
        <w:tc>
          <w:tcPr>
            <w:tcW w:w="2263" w:type="pct"/>
          </w:tcPr>
          <w:p w:rsidR="005E235E" w:rsidRDefault="005E235E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mrežnim stranicama Fakulteta bit će dostupne informacije o značajnim znanstvenim, nastavnim, stručnim i društvenim postignućima i aktivnostima Fakulteta.</w:t>
            </w:r>
          </w:p>
        </w:tc>
        <w:tc>
          <w:tcPr>
            <w:tcW w:w="586" w:type="pct"/>
          </w:tcPr>
          <w:p w:rsidR="005E235E" w:rsidRDefault="005E235E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79" w:type="pct"/>
          </w:tcPr>
          <w:p w:rsidR="005E235E" w:rsidRDefault="005E235E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kvalitete/Uredništvo web stranice/Službe Dekanata</w:t>
            </w:r>
          </w:p>
        </w:tc>
      </w:tr>
      <w:tr w:rsidR="005E235E" w:rsidRPr="00733998" w:rsidTr="00377298">
        <w:trPr>
          <w:cantSplit/>
          <w:trHeight w:val="515"/>
        </w:trPr>
        <w:tc>
          <w:tcPr>
            <w:tcW w:w="130" w:type="pct"/>
          </w:tcPr>
          <w:p w:rsidR="005E235E" w:rsidRPr="00C01F10" w:rsidRDefault="005E235E" w:rsidP="00E573E1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5E235E" w:rsidRPr="00E17022" w:rsidRDefault="005E235E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Organiziranje i sudjelovanje u aktivnostima vezanima uz popularizaciju znanosti i struke</w:t>
            </w:r>
          </w:p>
        </w:tc>
        <w:tc>
          <w:tcPr>
            <w:tcW w:w="2263" w:type="pct"/>
          </w:tcPr>
          <w:p w:rsidR="005E235E" w:rsidRPr="00E17022" w:rsidRDefault="005E235E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Tradicionalno će nastavnici FBF-a sudjelovati na Festivalu znanosti te u Tjednu botaničkih vrtova, arboretuma i botaničkih zbirki Hrvatske s Interaktivnom izložbom Skriveni svijet ljekovitih biljaka. Također će tradicionalno će biti organiziran Dan otvorenih vrata Fakulteta.</w:t>
            </w:r>
            <w:r w:rsidR="00AD25F4" w:rsidRPr="00E17022">
              <w:rPr>
                <w:rFonts w:ascii="Times New Roman" w:hAnsi="Times New Roman"/>
                <w:sz w:val="24"/>
                <w:szCs w:val="24"/>
              </w:rPr>
              <w:t xml:space="preserve"> Svaki mjesec organizirat će se popularna stručna predavanja. </w:t>
            </w:r>
          </w:p>
        </w:tc>
        <w:tc>
          <w:tcPr>
            <w:tcW w:w="586" w:type="pct"/>
          </w:tcPr>
          <w:p w:rsidR="005E235E" w:rsidRPr="00E17022" w:rsidRDefault="00AD25F4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979" w:type="pct"/>
          </w:tcPr>
          <w:p w:rsidR="005E235E" w:rsidRDefault="002F4EF6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Nastavnici FBF-a/Povjerenstvo za smotru Sveučilišta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65"/>
        <w:gridCol w:w="2692"/>
        <w:gridCol w:w="5807"/>
        <w:gridCol w:w="1363"/>
        <w:gridCol w:w="2529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9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10" w:history="1">
              <w:r w:rsidRPr="006A7CF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A06B06" w:rsidRPr="00733998" w:rsidTr="00E573E1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8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A06B06" w:rsidRPr="008C60CC" w:rsidRDefault="003258E0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Poticati mobilnost studenata, nastavnog i nenastavnog osoblja</w:t>
            </w:r>
          </w:p>
        </w:tc>
        <w:tc>
          <w:tcPr>
            <w:tcW w:w="2314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Prijavljivanje projekata mobilnosti u sklopu Erasmus+, CEEPUS i drugih programa mobilnosti; poticanje prijavljivanja projekata kojima se osiguravanju financijska sredstva za ostvarivanje mobilnosti; informiranje – veći broj ostvarenih mobilnosti.</w:t>
            </w:r>
          </w:p>
        </w:tc>
        <w:tc>
          <w:tcPr>
            <w:tcW w:w="383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878D3">
              <w:rPr>
                <w:rFonts w:ascii="Times New Roman" w:hAnsi="Times New Roman"/>
                <w:sz w:val="24"/>
                <w:szCs w:val="24"/>
              </w:rPr>
              <w:t>7./2018</w:t>
            </w:r>
            <w:r w:rsidRPr="008C6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Povjerenstvo za međunarodnu suradnju/Povjerenstvo za osiguravanje kvalitete</w:t>
            </w:r>
          </w:p>
        </w:tc>
      </w:tr>
      <w:tr w:rsidR="00A06B06" w:rsidRPr="00733998" w:rsidTr="00377298">
        <w:trPr>
          <w:cantSplit/>
          <w:trHeight w:val="500"/>
        </w:trPr>
        <w:tc>
          <w:tcPr>
            <w:tcW w:w="18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Osigurati pomoć dolaznim studentima</w:t>
            </w:r>
          </w:p>
        </w:tc>
        <w:tc>
          <w:tcPr>
            <w:tcW w:w="2314" w:type="pct"/>
          </w:tcPr>
          <w:p w:rsidR="00A06B06" w:rsidRPr="008C60CC" w:rsidRDefault="00151F5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Dodjeljivanje men</w:t>
            </w:r>
            <w:r w:rsidR="003258E0" w:rsidRPr="008C60CC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258E0" w:rsidRPr="008C60CC">
              <w:rPr>
                <w:rFonts w:ascii="Times New Roman" w:hAnsi="Times New Roman"/>
                <w:sz w:val="24"/>
                <w:szCs w:val="24"/>
              </w:rPr>
              <w:t>ra nastavnika, studenta domaćina ili studenta mentora dolaznim studentima tijekom razmjene – uspješniji boravak dolaznog studenta.</w:t>
            </w:r>
          </w:p>
        </w:tc>
        <w:tc>
          <w:tcPr>
            <w:tcW w:w="383" w:type="pct"/>
          </w:tcPr>
          <w:p w:rsidR="00A06B06" w:rsidRPr="008C60CC" w:rsidRDefault="008878D3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3258E0" w:rsidRPr="008C6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Povjerenstvo za međunarodnu suradnju/Povjerenstvo za osiguravanje kvalitete</w:t>
            </w:r>
          </w:p>
        </w:tc>
      </w:tr>
      <w:tr w:rsidR="00A06B06" w:rsidRPr="00733998" w:rsidTr="00377298">
        <w:trPr>
          <w:cantSplit/>
          <w:trHeight w:val="500"/>
        </w:trPr>
        <w:tc>
          <w:tcPr>
            <w:tcW w:w="18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A06B06" w:rsidRPr="00E17022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Osigurati sustavnu evidenciju podataka o mobilnosti i međunarodnoj suradnji</w:t>
            </w:r>
          </w:p>
        </w:tc>
        <w:tc>
          <w:tcPr>
            <w:tcW w:w="2314" w:type="pct"/>
          </w:tcPr>
          <w:p w:rsidR="00A06B06" w:rsidRPr="00E17022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Unaprjeđenje evidencije podataka o mobilnosti i međunarodnoj suradnji na sastavnici -</w:t>
            </w:r>
            <w:r w:rsidR="00FD30B4" w:rsidRPr="00E1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>sveobuhvatna evidencija podataka.</w:t>
            </w:r>
          </w:p>
          <w:p w:rsidR="00AD25F4" w:rsidRPr="00E17022" w:rsidRDefault="00AD25F4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Izrada interne baze dolaznih studenata čiju mobilnost koordinira ECTS koordinator.</w:t>
            </w:r>
          </w:p>
        </w:tc>
        <w:tc>
          <w:tcPr>
            <w:tcW w:w="383" w:type="pct"/>
          </w:tcPr>
          <w:p w:rsidR="00A06B06" w:rsidRPr="00E17022" w:rsidRDefault="008878D3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3258E0" w:rsidRPr="00E17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Povjerenstvo za međunarodnu suradnju/Povjerenstvo za osiguravanje kvalitete</w:t>
            </w:r>
            <w:r w:rsidR="0008406E" w:rsidRPr="00E17022">
              <w:rPr>
                <w:rFonts w:ascii="Times New Roman" w:hAnsi="Times New Roman"/>
                <w:sz w:val="24"/>
                <w:szCs w:val="24"/>
              </w:rPr>
              <w:t xml:space="preserve">/Središnja knjižnica FBF-a/Odjel za informatičku potporu/ </w:t>
            </w:r>
            <w:r w:rsidR="00AD25F4" w:rsidRPr="00E17022">
              <w:rPr>
                <w:rFonts w:ascii="Times New Roman" w:hAnsi="Times New Roman"/>
                <w:sz w:val="24"/>
                <w:szCs w:val="24"/>
              </w:rPr>
              <w:t>ECTS koordinator/</w:t>
            </w:r>
            <w:r w:rsidR="0008406E" w:rsidRPr="00E17022">
              <w:rPr>
                <w:rFonts w:ascii="Times New Roman" w:hAnsi="Times New Roman"/>
                <w:sz w:val="24"/>
                <w:szCs w:val="24"/>
              </w:rPr>
              <w:t>Uredništvo web stranice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Članovi</w:t>
      </w:r>
      <w:r w:rsidRPr="00733998">
        <w:rPr>
          <w:rFonts w:ascii="Times New Roman" w:hAnsi="Times New Roman"/>
          <w:b/>
          <w:sz w:val="24"/>
          <w:szCs w:val="24"/>
        </w:rPr>
        <w:t xml:space="preserve"> Povjerenstva za upravljanje kvalitetom sastavnice:</w:t>
      </w:r>
    </w:p>
    <w:p w:rsidR="00A06B06" w:rsidRPr="00166DF8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</w:t>
      </w:r>
      <w:r w:rsidR="00166DF8" w:rsidRPr="00166DF8">
        <w:rPr>
          <w:rFonts w:ascii="Times New Roman" w:hAnsi="Times New Roman"/>
          <w:b/>
          <w:sz w:val="24"/>
          <w:szCs w:val="24"/>
        </w:rPr>
        <w:t xml:space="preserve">. dr. sc. </w:t>
      </w:r>
      <w:r>
        <w:rPr>
          <w:rFonts w:ascii="Times New Roman" w:hAnsi="Times New Roman"/>
          <w:b/>
          <w:sz w:val="24"/>
          <w:szCs w:val="24"/>
        </w:rPr>
        <w:t>Miranda Sertić</w:t>
      </w:r>
      <w:r w:rsidR="00166DF8" w:rsidRPr="00166DF8">
        <w:rPr>
          <w:rFonts w:ascii="Times New Roman" w:hAnsi="Times New Roman"/>
          <w:b/>
          <w:sz w:val="24"/>
          <w:szCs w:val="24"/>
        </w:rPr>
        <w:t>, predsjednica</w:t>
      </w:r>
    </w:p>
    <w:p w:rsidR="00166DF8" w:rsidRPr="00166DF8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doc. dr. sc. Mirela Matić</w:t>
      </w:r>
      <w:r w:rsidR="00166DF8" w:rsidRPr="00166DF8">
        <w:rPr>
          <w:rFonts w:ascii="Times New Roman" w:hAnsi="Times New Roman"/>
          <w:b/>
          <w:sz w:val="24"/>
          <w:szCs w:val="24"/>
        </w:rPr>
        <w:t>, zamjenica predsjednice</w:t>
      </w:r>
    </w:p>
    <w:p w:rsidR="00166DF8" w:rsidRPr="00166DF8" w:rsidRDefault="00166DF8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166DF8">
        <w:rPr>
          <w:rFonts w:ascii="Times New Roman" w:hAnsi="Times New Roman"/>
          <w:b/>
          <w:sz w:val="24"/>
          <w:szCs w:val="24"/>
        </w:rPr>
        <w:t>iz</w:t>
      </w:r>
      <w:r w:rsidR="008878D3">
        <w:rPr>
          <w:rFonts w:ascii="Times New Roman" w:hAnsi="Times New Roman"/>
          <w:b/>
          <w:sz w:val="24"/>
          <w:szCs w:val="24"/>
        </w:rPr>
        <w:t>v. prof. dr. sc. Zrinka Rajić Džolić</w:t>
      </w:r>
    </w:p>
    <w:p w:rsidR="00166DF8" w:rsidRPr="00166DF8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sc. Anita Somborac Bačura</w:t>
      </w:r>
    </w:p>
    <w:p w:rsidR="00166DF8" w:rsidRPr="00166DF8" w:rsidRDefault="00166DF8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166DF8">
        <w:rPr>
          <w:rFonts w:ascii="Times New Roman" w:hAnsi="Times New Roman"/>
          <w:b/>
          <w:sz w:val="24"/>
          <w:szCs w:val="24"/>
        </w:rPr>
        <w:t>dr. sc. Biserka Cetina-Čižmek, znanstvena savjetnica</w:t>
      </w:r>
    </w:p>
    <w:p w:rsidR="00166DF8" w:rsidRPr="00166DF8" w:rsidRDefault="00166DF8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166DF8">
        <w:rPr>
          <w:rFonts w:ascii="Times New Roman" w:hAnsi="Times New Roman"/>
          <w:b/>
          <w:sz w:val="24"/>
          <w:szCs w:val="24"/>
        </w:rPr>
        <w:t>Ante Kisić, dipl. ing. rač.</w:t>
      </w:r>
    </w:p>
    <w:p w:rsidR="00166DF8" w:rsidRPr="00166DF8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 Sinožić</w:t>
      </w:r>
      <w:r w:rsidR="00166DF8" w:rsidRPr="00166DF8">
        <w:rPr>
          <w:rFonts w:ascii="Times New Roman" w:hAnsi="Times New Roman"/>
          <w:b/>
          <w:sz w:val="24"/>
          <w:szCs w:val="24"/>
        </w:rPr>
        <w:t>, student</w:t>
      </w: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166DF8" w:rsidRDefault="00A06B06" w:rsidP="00A06B06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33998">
        <w:rPr>
          <w:rFonts w:ascii="Times New Roman" w:hAnsi="Times New Roman"/>
          <w:b/>
          <w:sz w:val="24"/>
          <w:szCs w:val="24"/>
        </w:rPr>
        <w:t xml:space="preserve">atum </w:t>
      </w:r>
      <w:r>
        <w:rPr>
          <w:rFonts w:ascii="Times New Roman" w:hAnsi="Times New Roman"/>
          <w:b/>
          <w:sz w:val="24"/>
          <w:szCs w:val="24"/>
        </w:rPr>
        <w:t>sačinj</w:t>
      </w:r>
      <w:r w:rsidRPr="00733998">
        <w:rPr>
          <w:rFonts w:ascii="Times New Roman" w:hAnsi="Times New Roman"/>
          <w:b/>
          <w:sz w:val="24"/>
          <w:szCs w:val="24"/>
        </w:rPr>
        <w:t xml:space="preserve">avanja </w:t>
      </w:r>
      <w:r>
        <w:rPr>
          <w:rFonts w:ascii="Times New Roman" w:hAnsi="Times New Roman"/>
          <w:b/>
          <w:sz w:val="24"/>
          <w:szCs w:val="24"/>
        </w:rPr>
        <w:t>Plana aktivnosti</w:t>
      </w:r>
      <w:r w:rsidRPr="00733998">
        <w:rPr>
          <w:rFonts w:ascii="Times New Roman" w:hAnsi="Times New Roman"/>
          <w:b/>
          <w:sz w:val="24"/>
          <w:szCs w:val="24"/>
        </w:rPr>
        <w:t>:</w:t>
      </w:r>
      <w:r w:rsidR="00166DF8">
        <w:rPr>
          <w:rFonts w:ascii="Times New Roman" w:hAnsi="Times New Roman"/>
          <w:b/>
          <w:sz w:val="24"/>
          <w:szCs w:val="24"/>
        </w:rPr>
        <w:t xml:space="preserve"> </w:t>
      </w:r>
      <w:r w:rsidR="0086378D">
        <w:rPr>
          <w:rFonts w:ascii="Times New Roman" w:hAnsi="Times New Roman"/>
          <w:b/>
          <w:sz w:val="24"/>
          <w:szCs w:val="24"/>
        </w:rPr>
        <w:t>5.12.2017</w:t>
      </w:r>
      <w:r w:rsidR="00166DF8">
        <w:rPr>
          <w:rFonts w:ascii="Times New Roman" w:hAnsi="Times New Roman"/>
          <w:b/>
          <w:sz w:val="24"/>
          <w:szCs w:val="24"/>
        </w:rPr>
        <w:t>.</w:t>
      </w:r>
    </w:p>
    <w:p w:rsidR="00E573E1" w:rsidRDefault="00A06B06" w:rsidP="00166DF8">
      <w:pPr>
        <w:tabs>
          <w:tab w:val="left" w:pos="228"/>
          <w:tab w:val="right" w:pos="8788"/>
        </w:tabs>
      </w:pPr>
      <w:r w:rsidRPr="00733998">
        <w:rPr>
          <w:rFonts w:ascii="Times New Roman" w:hAnsi="Times New Roman"/>
          <w:b/>
          <w:sz w:val="24"/>
          <w:szCs w:val="24"/>
        </w:rPr>
        <w:t>Izvješće pripremio/la:</w:t>
      </w:r>
      <w:r w:rsidR="0086378D">
        <w:rPr>
          <w:rFonts w:ascii="Times New Roman" w:hAnsi="Times New Roman"/>
          <w:b/>
          <w:sz w:val="24"/>
          <w:szCs w:val="24"/>
        </w:rPr>
        <w:t xml:space="preserve"> doc. dr. sc. Miranda Sertić</w:t>
      </w:r>
    </w:p>
    <w:sectPr w:rsidR="00E573E1" w:rsidSect="00F46490">
      <w:headerReference w:type="default" r:id="rId11"/>
      <w:footerReference w:type="default" r:id="rId12"/>
      <w:pgSz w:w="16838" w:h="11906" w:orient="landscape" w:code="9"/>
      <w:pgMar w:top="1440" w:right="1418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38" w:rsidRDefault="00A22138" w:rsidP="005D2AA1">
      <w:pPr>
        <w:spacing w:after="0" w:line="240" w:lineRule="auto"/>
      </w:pPr>
      <w:r>
        <w:separator/>
      </w:r>
    </w:p>
  </w:endnote>
  <w:endnote w:type="continuationSeparator" w:id="0">
    <w:p w:rsidR="00A22138" w:rsidRDefault="00A22138" w:rsidP="005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9" w:rsidRDefault="00C81840" w:rsidP="00E573E1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0FF89A0" wp14:editId="664F6A22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" strokeweight=".25pt">
              <v:shadow opacity="22938f" offset="0"/>
            </v:line>
          </w:pict>
        </mc:Fallback>
      </mc:AlternateContent>
    </w:r>
  </w:p>
  <w:p w:rsidR="006607D9" w:rsidRPr="00E73831" w:rsidRDefault="006607D9" w:rsidP="00E573E1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>ilište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u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Zagrebu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, p.p. 407,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Trg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maršala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Tita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14, HR-10000 Zagreb</w:t>
    </w:r>
  </w:p>
  <w:p w:rsidR="006607D9" w:rsidRPr="00E73831" w:rsidRDefault="006607D9" w:rsidP="00E573E1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</w:t>
    </w:r>
  </w:p>
  <w:p w:rsidR="006607D9" w:rsidRPr="00E73831" w:rsidRDefault="006607D9" w:rsidP="00E573E1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>
      <w:rPr>
        <w:rFonts w:ascii="UniZgLight" w:hAnsi="UniZgLight" w:cs="UniZgLight"/>
        <w:sz w:val="16"/>
        <w:szCs w:val="16"/>
        <w:lang w:val="pt-BR"/>
      </w:rPr>
      <w:t>urkva</w:t>
    </w:r>
    <w:r w:rsidRPr="00E73831">
      <w:rPr>
        <w:rFonts w:ascii="UniZgLight" w:hAnsi="UniZgLight" w:cs="UniZgLight"/>
        <w:sz w:val="16"/>
        <w:szCs w:val="16"/>
        <w:lang w:val="pt-BR"/>
      </w:rPr>
      <w:t>@unizg.hr; url.: www.unizg.hr</w:t>
    </w:r>
  </w:p>
  <w:p w:rsidR="006607D9" w:rsidRPr="00291CD7" w:rsidRDefault="00632650" w:rsidP="00E573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 w:rsidR="006607D9"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47ED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 w:rsidR="006607D9"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147ED4" w:rsidRPr="00147ED4">
        <w:rPr>
          <w:noProof/>
          <w:color w:val="323E4F" w:themeColor="text2" w:themeShade="BF"/>
          <w:sz w:val="24"/>
          <w:szCs w:val="24"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38" w:rsidRDefault="00A22138" w:rsidP="005D2AA1">
      <w:pPr>
        <w:spacing w:after="0" w:line="240" w:lineRule="auto"/>
      </w:pPr>
      <w:r>
        <w:separator/>
      </w:r>
    </w:p>
  </w:footnote>
  <w:footnote w:type="continuationSeparator" w:id="0">
    <w:p w:rsidR="00A22138" w:rsidRDefault="00A22138" w:rsidP="005D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9" w:rsidRDefault="006607D9">
    <w:pPr>
      <w:pStyle w:val="Header"/>
    </w:pPr>
  </w:p>
  <w:p w:rsidR="006607D9" w:rsidRDefault="00660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BB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FA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7CE5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09CF"/>
    <w:multiLevelType w:val="hybridMultilevel"/>
    <w:tmpl w:val="758AC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0DB"/>
    <w:multiLevelType w:val="hybridMultilevel"/>
    <w:tmpl w:val="07F6BA0E"/>
    <w:lvl w:ilvl="0" w:tplc="D194B58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76CF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12FC2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7D41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35873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199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01AE9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6590A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B633D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B33F1"/>
    <w:multiLevelType w:val="hybridMultilevel"/>
    <w:tmpl w:val="4CE41EC4"/>
    <w:lvl w:ilvl="0" w:tplc="5232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9619B"/>
    <w:multiLevelType w:val="hybridMultilevel"/>
    <w:tmpl w:val="79869674"/>
    <w:lvl w:ilvl="0" w:tplc="160C273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06"/>
    <w:rsid w:val="00006C4B"/>
    <w:rsid w:val="00017C8D"/>
    <w:rsid w:val="000269E4"/>
    <w:rsid w:val="00033B4F"/>
    <w:rsid w:val="00052980"/>
    <w:rsid w:val="0007457A"/>
    <w:rsid w:val="0008406E"/>
    <w:rsid w:val="00097192"/>
    <w:rsid w:val="000E38B5"/>
    <w:rsid w:val="00115E64"/>
    <w:rsid w:val="00147ED4"/>
    <w:rsid w:val="00151F50"/>
    <w:rsid w:val="00166DF8"/>
    <w:rsid w:val="001C243E"/>
    <w:rsid w:val="001C324F"/>
    <w:rsid w:val="001C3D2A"/>
    <w:rsid w:val="0024681E"/>
    <w:rsid w:val="002937A7"/>
    <w:rsid w:val="00296F39"/>
    <w:rsid w:val="002B4EE7"/>
    <w:rsid w:val="002B5DDE"/>
    <w:rsid w:val="002C4677"/>
    <w:rsid w:val="002F4EF6"/>
    <w:rsid w:val="002F55FB"/>
    <w:rsid w:val="002F70B7"/>
    <w:rsid w:val="00301263"/>
    <w:rsid w:val="00316985"/>
    <w:rsid w:val="003258E0"/>
    <w:rsid w:val="00326CCB"/>
    <w:rsid w:val="00343D06"/>
    <w:rsid w:val="003510AD"/>
    <w:rsid w:val="00377298"/>
    <w:rsid w:val="003C311E"/>
    <w:rsid w:val="003E155C"/>
    <w:rsid w:val="003F754D"/>
    <w:rsid w:val="004054E0"/>
    <w:rsid w:val="00413437"/>
    <w:rsid w:val="00436D76"/>
    <w:rsid w:val="004376C5"/>
    <w:rsid w:val="004C0566"/>
    <w:rsid w:val="0055211A"/>
    <w:rsid w:val="005B5FD9"/>
    <w:rsid w:val="005D2AA1"/>
    <w:rsid w:val="005E025C"/>
    <w:rsid w:val="005E235E"/>
    <w:rsid w:val="005F61CF"/>
    <w:rsid w:val="00610370"/>
    <w:rsid w:val="0063099C"/>
    <w:rsid w:val="00632650"/>
    <w:rsid w:val="0064452D"/>
    <w:rsid w:val="006451DC"/>
    <w:rsid w:val="006607D9"/>
    <w:rsid w:val="006A48C3"/>
    <w:rsid w:val="006A6422"/>
    <w:rsid w:val="006E20FF"/>
    <w:rsid w:val="006F37F0"/>
    <w:rsid w:val="00704DCE"/>
    <w:rsid w:val="007404DA"/>
    <w:rsid w:val="00743ACB"/>
    <w:rsid w:val="00751172"/>
    <w:rsid w:val="00792A55"/>
    <w:rsid w:val="0079701C"/>
    <w:rsid w:val="007B56F4"/>
    <w:rsid w:val="007E5D5D"/>
    <w:rsid w:val="00857BF3"/>
    <w:rsid w:val="0086378D"/>
    <w:rsid w:val="008877A0"/>
    <w:rsid w:val="008878D3"/>
    <w:rsid w:val="008C4919"/>
    <w:rsid w:val="008C60CC"/>
    <w:rsid w:val="008C6EBA"/>
    <w:rsid w:val="008F1ECA"/>
    <w:rsid w:val="00900743"/>
    <w:rsid w:val="00922E43"/>
    <w:rsid w:val="0093381F"/>
    <w:rsid w:val="00954984"/>
    <w:rsid w:val="009A6A79"/>
    <w:rsid w:val="009C1527"/>
    <w:rsid w:val="009E5C13"/>
    <w:rsid w:val="00A06B06"/>
    <w:rsid w:val="00A06F2A"/>
    <w:rsid w:val="00A22138"/>
    <w:rsid w:val="00A25FD0"/>
    <w:rsid w:val="00A47353"/>
    <w:rsid w:val="00A65F3C"/>
    <w:rsid w:val="00A66D57"/>
    <w:rsid w:val="00A75776"/>
    <w:rsid w:val="00A86161"/>
    <w:rsid w:val="00A93071"/>
    <w:rsid w:val="00AB0B04"/>
    <w:rsid w:val="00AD25F4"/>
    <w:rsid w:val="00AE7283"/>
    <w:rsid w:val="00B12C9B"/>
    <w:rsid w:val="00B4226A"/>
    <w:rsid w:val="00B63744"/>
    <w:rsid w:val="00B742A5"/>
    <w:rsid w:val="00B74BE8"/>
    <w:rsid w:val="00BB1E04"/>
    <w:rsid w:val="00C03C55"/>
    <w:rsid w:val="00C33B41"/>
    <w:rsid w:val="00C42AE8"/>
    <w:rsid w:val="00C512BD"/>
    <w:rsid w:val="00C62E7A"/>
    <w:rsid w:val="00C6743C"/>
    <w:rsid w:val="00C81840"/>
    <w:rsid w:val="00C82CEF"/>
    <w:rsid w:val="00C833B3"/>
    <w:rsid w:val="00CA63C0"/>
    <w:rsid w:val="00CA6E89"/>
    <w:rsid w:val="00CB6334"/>
    <w:rsid w:val="00CB78AC"/>
    <w:rsid w:val="00CC047D"/>
    <w:rsid w:val="00CD0631"/>
    <w:rsid w:val="00CF6B75"/>
    <w:rsid w:val="00D91BD9"/>
    <w:rsid w:val="00DA03C4"/>
    <w:rsid w:val="00DB6435"/>
    <w:rsid w:val="00DC71CC"/>
    <w:rsid w:val="00DE31A8"/>
    <w:rsid w:val="00E17022"/>
    <w:rsid w:val="00E2335C"/>
    <w:rsid w:val="00E25876"/>
    <w:rsid w:val="00E2774C"/>
    <w:rsid w:val="00E573E1"/>
    <w:rsid w:val="00EA2D83"/>
    <w:rsid w:val="00EA5DA7"/>
    <w:rsid w:val="00EE33D1"/>
    <w:rsid w:val="00EF23CB"/>
    <w:rsid w:val="00F235A6"/>
    <w:rsid w:val="00F264A2"/>
    <w:rsid w:val="00F46490"/>
    <w:rsid w:val="00F51BBD"/>
    <w:rsid w:val="00F64D45"/>
    <w:rsid w:val="00F90041"/>
    <w:rsid w:val="00F972A9"/>
    <w:rsid w:val="00FA0383"/>
    <w:rsid w:val="00FC392B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6B06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A06B06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A06B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B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6B0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83"/>
  </w:style>
  <w:style w:type="character" w:styleId="CommentReference">
    <w:name w:val="annotation reference"/>
    <w:basedOn w:val="DefaultParagraphFont"/>
    <w:uiPriority w:val="99"/>
    <w:semiHidden/>
    <w:unhideWhenUsed/>
    <w:rsid w:val="00F9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6B06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A06B06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A06B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B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6B0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83"/>
  </w:style>
  <w:style w:type="character" w:styleId="CommentReference">
    <w:name w:val="annotation reference"/>
    <w:basedOn w:val="DefaultParagraphFont"/>
    <w:uiPriority w:val="99"/>
    <w:semiHidden/>
    <w:unhideWhenUsed/>
    <w:rsid w:val="00F9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2E88B-044C-417B-8E87-90C87B67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Farmaceutsko-biokemijski fakultet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Gojšić</dc:creator>
  <cp:lastModifiedBy>Windows User</cp:lastModifiedBy>
  <cp:revision>6</cp:revision>
  <cp:lastPrinted>2017-12-06T14:55:00Z</cp:lastPrinted>
  <dcterms:created xsi:type="dcterms:W3CDTF">2017-12-06T14:22:00Z</dcterms:created>
  <dcterms:modified xsi:type="dcterms:W3CDTF">2017-12-07T08:12:00Z</dcterms:modified>
</cp:coreProperties>
</file>